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生命科学学院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王玲玲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讲师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生物学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4"/>
          <w:u w:val="single"/>
        </w:rPr>
        <w:t xml:space="preserve">教学科研型副教授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eastAsia"/>
          <w:sz w:val="24"/>
          <w:u w:val="single"/>
        </w:rPr>
        <w:t xml:space="preserve">  </w:t>
      </w:r>
      <w:r>
        <w:rPr>
          <w:rFonts w:hint="default"/>
          <w:sz w:val="24"/>
          <w:u w:val="single"/>
          <w:lang w:val="en-US"/>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sz w:val="24"/>
        </w:rPr>
        <w:t>2023</w:t>
      </w:r>
      <w:r>
        <w:rPr>
          <w:rFonts w:hint="eastAsia"/>
          <w:sz w:val="24"/>
        </w:rPr>
        <w:t xml:space="preserve">  年   </w:t>
      </w:r>
      <w:r>
        <w:rPr>
          <w:sz w:val="24"/>
        </w:rPr>
        <w:t>8</w:t>
      </w:r>
      <w:r>
        <w:rPr>
          <w:rFonts w:hint="eastAsia"/>
          <w:sz w:val="24"/>
        </w:rPr>
        <w:t xml:space="preserve">   月   </w:t>
      </w:r>
      <w:r>
        <w:rPr>
          <w:sz w:val="24"/>
        </w:rPr>
        <w:t>23</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王玲玲</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1</w:t>
            </w:r>
            <w:r>
              <w:rPr>
                <w:rFonts w:ascii="宋体" w:hAnsi="宋体" w:cs="Arial"/>
                <w:kern w:val="0"/>
                <w:szCs w:val="21"/>
              </w:rPr>
              <w:t>989.03</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ascii="宋体" w:hAnsi="宋体" w:cs="Arial"/>
                <w:kern w:val="0"/>
                <w:szCs w:val="21"/>
              </w:rPr>
              <w:drawing>
                <wp:inline distT="0" distB="0" distL="0" distR="0">
                  <wp:extent cx="1032510" cy="14300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2510" cy="143002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高等教育，生物科学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华中农业大学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博士研究生，理学博士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生物化学与分子生物</w:t>
            </w:r>
            <w:bookmarkStart w:id="0" w:name="_GoBack"/>
            <w:bookmarkEnd w:id="0"/>
            <w:r>
              <w:rPr>
                <w:rFonts w:hint="eastAsia" w:ascii="宋体" w:hAnsi="宋体" w:cs="Arial"/>
                <w:kern w:val="0"/>
                <w:szCs w:val="21"/>
              </w:rPr>
              <w:t>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海南师范大学生命科学学院</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020.06</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生物科学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讲师，2</w:t>
            </w:r>
            <w:r>
              <w:rPr>
                <w:rFonts w:ascii="宋体" w:hAnsi="宋体" w:cs="Arial"/>
                <w:kern w:val="0"/>
                <w:szCs w:val="21"/>
              </w:rPr>
              <w:t>020.09</w:t>
            </w:r>
          </w:p>
          <w:p>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时间：2</w:t>
            </w:r>
            <w:r>
              <w:rPr>
                <w:rFonts w:ascii="宋体" w:hAnsi="宋体" w:cs="Arial"/>
                <w:kern w:val="0"/>
                <w:szCs w:val="21"/>
              </w:rPr>
              <w:t>020.10</w:t>
            </w:r>
          </w:p>
          <w:p>
            <w:pPr>
              <w:widowControl/>
              <w:jc w:val="left"/>
              <w:rPr>
                <w:rFonts w:ascii="宋体" w:hAnsi="宋体" w:cs="Arial"/>
                <w:kern w:val="0"/>
                <w:szCs w:val="21"/>
              </w:rPr>
            </w:pPr>
            <w:r>
              <w:rPr>
                <w:rFonts w:hint="eastAsia" w:ascii="宋体" w:hAnsi="宋体" w:cs="Arial"/>
                <w:kern w:val="0"/>
                <w:szCs w:val="21"/>
              </w:rPr>
              <w:t>单位：海南师范大学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2年</w:t>
            </w:r>
            <w:r>
              <w:rPr>
                <w:rFonts w:ascii="宋体" w:hAnsi="宋体" w:cs="Arial"/>
                <w:kern w:val="0"/>
                <w:szCs w:val="21"/>
              </w:rPr>
              <w:t>2</w:t>
            </w:r>
            <w:r>
              <w:rPr>
                <w:rFonts w:hint="eastAsia" w:ascii="宋体" w:hAnsi="宋体" w:cs="Arial"/>
                <w:kern w:val="0"/>
                <w:szCs w:val="21"/>
              </w:rPr>
              <w:t>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中级</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生物科学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大学英语6级</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生物学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Cs w:val="21"/>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012</w:t>
            </w:r>
            <w:r>
              <w:rPr>
                <w:rFonts w:hint="eastAsia" w:ascii="宋体" w:hAnsi="宋体" w:cs="Arial"/>
                <w:kern w:val="0"/>
                <w:szCs w:val="21"/>
              </w:rPr>
              <w:t>年9月-</w:t>
            </w:r>
            <w:r>
              <w:rPr>
                <w:rFonts w:ascii="宋体" w:hAnsi="宋体" w:cs="Arial"/>
                <w:kern w:val="0"/>
                <w:szCs w:val="21"/>
              </w:rPr>
              <w:t>2015</w:t>
            </w:r>
            <w:r>
              <w:rPr>
                <w:rFonts w:hint="eastAsia" w:ascii="宋体" w:hAnsi="宋体" w:cs="Arial"/>
                <w:kern w:val="0"/>
                <w:szCs w:val="21"/>
              </w:rPr>
              <w:t>年7月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重庆大学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生物工程学院，生物学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周绪红</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w:t>
            </w:r>
            <w:r>
              <w:rPr>
                <w:rFonts w:ascii="宋体" w:hAnsi="宋体" w:cs="Arial"/>
                <w:kern w:val="0"/>
                <w:szCs w:val="21"/>
              </w:rPr>
              <w:t>015</w:t>
            </w:r>
            <w:r>
              <w:rPr>
                <w:rFonts w:hint="eastAsia" w:ascii="宋体" w:hAnsi="宋体" w:cs="Arial"/>
                <w:kern w:val="0"/>
                <w:szCs w:val="21"/>
              </w:rPr>
              <w:t>年9月-</w:t>
            </w:r>
            <w:r>
              <w:rPr>
                <w:rFonts w:ascii="宋体" w:hAnsi="宋体" w:cs="Arial"/>
                <w:kern w:val="0"/>
                <w:szCs w:val="21"/>
              </w:rPr>
              <w:t>2019</w:t>
            </w:r>
            <w:r>
              <w:rPr>
                <w:rFonts w:hint="eastAsia" w:ascii="宋体" w:hAnsi="宋体" w:cs="Arial"/>
                <w:kern w:val="0"/>
                <w:szCs w:val="21"/>
              </w:rPr>
              <w:t>年6月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脱产</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华中农业大学和中国农业科学院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生命科学技术学院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李召虎</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szCs w:val="21"/>
              </w:rPr>
            </w:pPr>
            <w:r>
              <w:rPr>
                <w:szCs w:val="21"/>
              </w:rPr>
              <w:t>2019</w:t>
            </w:r>
            <w:r>
              <w:rPr>
                <w:rFonts w:hint="eastAsia"/>
                <w:szCs w:val="21"/>
              </w:rPr>
              <w:t>年</w:t>
            </w:r>
            <w:r>
              <w:rPr>
                <w:szCs w:val="21"/>
              </w:rPr>
              <w:t>10</w:t>
            </w:r>
            <w:r>
              <w:rPr>
                <w:rFonts w:hint="eastAsia"/>
                <w:szCs w:val="21"/>
              </w:rPr>
              <w:t>月—</w:t>
            </w:r>
            <w:r>
              <w:rPr>
                <w:szCs w:val="21"/>
              </w:rPr>
              <w:t>2019</w:t>
            </w:r>
            <w:r>
              <w:rPr>
                <w:rFonts w:hint="eastAsia"/>
                <w:szCs w:val="21"/>
              </w:rPr>
              <w:t>年</w:t>
            </w:r>
            <w:r>
              <w:rPr>
                <w:szCs w:val="21"/>
              </w:rPr>
              <w:t>12</w:t>
            </w:r>
            <w:r>
              <w:rPr>
                <w:rFonts w:hint="eastAsia"/>
                <w:szCs w:val="21"/>
              </w:rPr>
              <w:t>月</w:t>
            </w:r>
          </w:p>
        </w:tc>
        <w:tc>
          <w:tcPr>
            <w:tcW w:w="3265" w:type="dxa"/>
          </w:tcPr>
          <w:p>
            <w:pPr>
              <w:rPr>
                <w:sz w:val="18"/>
              </w:rPr>
            </w:pPr>
            <w:r>
              <w:rPr>
                <w:rFonts w:hint="eastAsia"/>
                <w:sz w:val="18"/>
              </w:rPr>
              <w:t>新加坡南洋理工大学</w:t>
            </w:r>
          </w:p>
        </w:tc>
        <w:tc>
          <w:tcPr>
            <w:tcW w:w="2410" w:type="dxa"/>
          </w:tcPr>
          <w:p>
            <w:pPr>
              <w:rPr>
                <w:sz w:val="18"/>
              </w:rPr>
            </w:pPr>
            <w:r>
              <w:rPr>
                <w:rFonts w:hint="eastAsia"/>
                <w:sz w:val="18"/>
              </w:rPr>
              <w:t>化学与生物医学</w:t>
            </w:r>
          </w:p>
        </w:tc>
        <w:tc>
          <w:tcPr>
            <w:tcW w:w="1701" w:type="dxa"/>
          </w:tcPr>
          <w:p>
            <w:pPr>
              <w:rPr>
                <w:sz w:val="18"/>
              </w:rPr>
            </w:pPr>
            <w:r>
              <w:rPr>
                <w:rFonts w:hint="eastAsia"/>
                <w:sz w:val="18"/>
              </w:rPr>
              <w:t>R</w:t>
            </w:r>
            <w:r>
              <w:rPr>
                <w:sz w:val="18"/>
              </w:rPr>
              <w:t>esearch fellow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szCs w:val="21"/>
              </w:rPr>
              <w:t>2020</w:t>
            </w:r>
            <w:r>
              <w:rPr>
                <w:rFonts w:hint="eastAsia"/>
                <w:szCs w:val="21"/>
              </w:rPr>
              <w:t>年</w:t>
            </w:r>
            <w:r>
              <w:rPr>
                <w:szCs w:val="21"/>
              </w:rPr>
              <w:t>6</w:t>
            </w:r>
            <w:r>
              <w:rPr>
                <w:rFonts w:hint="eastAsia"/>
                <w:szCs w:val="21"/>
              </w:rPr>
              <w:t>月—至今</w:t>
            </w:r>
          </w:p>
        </w:tc>
        <w:tc>
          <w:tcPr>
            <w:tcW w:w="3265" w:type="dxa"/>
          </w:tcPr>
          <w:p>
            <w:pPr>
              <w:rPr>
                <w:sz w:val="18"/>
              </w:rPr>
            </w:pPr>
            <w:r>
              <w:rPr>
                <w:rFonts w:hint="eastAsia"/>
                <w:sz w:val="18"/>
              </w:rPr>
              <w:t>海南师范大学</w:t>
            </w:r>
          </w:p>
        </w:tc>
        <w:tc>
          <w:tcPr>
            <w:tcW w:w="2410" w:type="dxa"/>
          </w:tcPr>
          <w:p>
            <w:pPr>
              <w:rPr>
                <w:sz w:val="18"/>
              </w:rPr>
            </w:pPr>
            <w:r>
              <w:rPr>
                <w:rFonts w:hint="eastAsia"/>
                <w:sz w:val="18"/>
              </w:rPr>
              <w:t>植物生态学</w:t>
            </w:r>
          </w:p>
        </w:tc>
        <w:tc>
          <w:tcPr>
            <w:tcW w:w="1701" w:type="dxa"/>
          </w:tcPr>
          <w:p>
            <w:pPr>
              <w:rPr>
                <w:sz w:val="18"/>
              </w:rPr>
            </w:pPr>
            <w:r>
              <w:rPr>
                <w:rFonts w:hint="eastAsia"/>
                <w:sz w:val="18"/>
              </w:rPr>
              <w:t>专任教师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担任生命科学学院班主任时间：2</w:t>
            </w:r>
            <w:r>
              <w:rPr>
                <w:rFonts w:ascii="宋体" w:hAnsi="宋体" w:cs="Arial"/>
                <w:kern w:val="0"/>
                <w:szCs w:val="21"/>
              </w:rPr>
              <w:t>020</w:t>
            </w:r>
            <w:r>
              <w:rPr>
                <w:rFonts w:hint="eastAsia" w:ascii="宋体" w:hAnsi="宋体" w:cs="Arial"/>
                <w:kern w:val="0"/>
                <w:szCs w:val="21"/>
              </w:rPr>
              <w:t>年9月-至今</w:t>
            </w:r>
          </w:p>
        </w:tc>
      </w:tr>
    </w:tbl>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ascii="仿宋_GB2312" w:eastAsia="仿宋_GB2312"/>
                <w:szCs w:val="21"/>
                <w:u w:val="single"/>
              </w:rPr>
              <w:t>320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160</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ascii="仿宋_GB2312" w:eastAsia="仿宋_GB2312"/>
                <w:szCs w:val="21"/>
                <w:u w:val="single"/>
              </w:rPr>
              <w:t>320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ascii="仿宋_GB2312" w:eastAsia="仿宋_GB2312"/>
                <w:szCs w:val="21"/>
                <w:u w:val="single"/>
              </w:rPr>
              <w:t>160</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 xml:space="preserve">担任毕业实习和论文指导工作（ </w:t>
            </w:r>
            <w:r>
              <w:rPr>
                <w:rFonts w:ascii="仿宋_GB2312" w:hAnsi="宋体" w:eastAsia="仿宋_GB2312" w:cs="宋体"/>
                <w:kern w:val="0"/>
                <w:szCs w:val="21"/>
              </w:rPr>
              <w:t>2</w:t>
            </w:r>
            <w:r>
              <w:rPr>
                <w:rFonts w:hint="eastAsia" w:ascii="仿宋_GB2312" w:hAnsi="宋体" w:eastAsia="仿宋_GB2312" w:cs="宋体"/>
                <w:kern w:val="0"/>
                <w:szCs w:val="21"/>
              </w:rPr>
              <w:t xml:space="preserve">  ）届；或担任本科生创新创业活动（ </w:t>
            </w:r>
            <w:r>
              <w:rPr>
                <w:rFonts w:ascii="仿宋_GB2312" w:hAnsi="宋体" w:eastAsia="仿宋_GB2312" w:cs="宋体"/>
                <w:kern w:val="0"/>
                <w:szCs w:val="21"/>
              </w:rPr>
              <w:t>0</w:t>
            </w:r>
            <w:r>
              <w:rPr>
                <w:rFonts w:hint="eastAsia" w:ascii="仿宋_GB2312" w:hAnsi="宋体" w:eastAsia="仿宋_GB2312" w:cs="宋体"/>
                <w:kern w:val="0"/>
                <w:szCs w:val="21"/>
              </w:rPr>
              <w:t xml:space="preserve">  ）项；或担任本科生专业竞赛指导（ </w:t>
            </w:r>
            <w:r>
              <w:rPr>
                <w:rFonts w:ascii="仿宋_GB2312" w:hAnsi="宋体" w:eastAsia="仿宋_GB2312" w:cs="宋体"/>
                <w:kern w:val="0"/>
                <w:szCs w:val="21"/>
              </w:rPr>
              <w:t>2</w:t>
            </w:r>
            <w:r>
              <w:rPr>
                <w:rFonts w:hint="eastAsia" w:ascii="仿宋_GB2312" w:hAnsi="宋体" w:eastAsia="仿宋_GB2312" w:cs="宋体"/>
                <w:kern w:val="0"/>
                <w:szCs w:val="21"/>
              </w:rPr>
              <w:t xml:space="preserve">  ）项；或担任本科生开展寒暑假社会实践（ </w:t>
            </w:r>
            <w:r>
              <w:rPr>
                <w:rFonts w:ascii="仿宋_GB2312" w:hAnsi="宋体" w:eastAsia="仿宋_GB2312" w:cs="宋体"/>
                <w:kern w:val="0"/>
                <w:szCs w:val="21"/>
              </w:rPr>
              <w:t>0</w:t>
            </w:r>
            <w:r>
              <w:rPr>
                <w:rFonts w:hint="eastAsia" w:ascii="仿宋_GB2312" w:hAnsi="宋体" w:eastAsia="仿宋_GB2312" w:cs="宋体"/>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020-2021</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细胞生物学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级地化生1</w:t>
            </w:r>
            <w:r>
              <w:rPr>
                <w:rFonts w:ascii="仿宋_GB2312" w:eastAsia="仿宋_GB2312"/>
                <w:szCs w:val="21"/>
              </w:rPr>
              <w:t>2</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020-2021</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细胞生物学实验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级生物技术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020-2021</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生物化学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020-2021</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生物化学实验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细胞生物学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级地化生1</w:t>
            </w:r>
            <w:r>
              <w:rPr>
                <w:rFonts w:ascii="仿宋_GB2312" w:eastAsia="仿宋_GB2312"/>
                <w:szCs w:val="21"/>
              </w:rPr>
              <w:t>1</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分子生物学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生物技术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分子生物学实验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生物技术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生物化学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生物科学3班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w:t>
            </w:r>
            <w:r>
              <w:rPr>
                <w:rFonts w:ascii="仿宋_GB2312" w:eastAsia="仿宋_GB2312"/>
                <w:szCs w:val="21"/>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生物化学实验</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生物科学3班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szCs w:val="21"/>
              </w:rPr>
            </w:pPr>
            <w:r>
              <w:rPr>
                <w:rFonts w:hint="eastAsia" w:ascii="仿宋_GB2312" w:eastAsia="仿宋_GB2312"/>
                <w:szCs w:val="21"/>
              </w:rPr>
              <w:t>任现职以来，指导生物科学师范生顶岗实习岗前培训2届；指导本科生毕业论文2届。</w:t>
            </w:r>
          </w:p>
          <w:p>
            <w:pPr>
              <w:spacing w:line="240" w:lineRule="exact"/>
              <w:rPr>
                <w:rFonts w:ascii="仿宋_GB2312" w:eastAsia="仿宋_GB2312"/>
                <w:szCs w:val="21"/>
              </w:rPr>
            </w:pPr>
          </w:p>
          <w:p>
            <w:pPr>
              <w:spacing w:line="240" w:lineRule="exact"/>
              <w:rPr>
                <w:rFonts w:ascii="仿宋_GB2312" w:eastAsia="仿宋_GB2312"/>
                <w:szCs w:val="21"/>
              </w:rPr>
            </w:pP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ascii="仿宋_GB2312" w:hAnsi="宋体" w:eastAsia="仿宋_GB2312" w:cs="宋体"/>
                <w:kern w:val="0"/>
                <w:sz w:val="24"/>
                <w:szCs w:val="24"/>
              </w:rPr>
              <w:t>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r>
              <w:rPr>
                <w:rFonts w:ascii="宋体" w:hAnsi="宋体" w:eastAsia="宋体" w:cs="宋体"/>
                <w:kern w:val="0"/>
                <w:sz w:val="24"/>
                <w:szCs w:val="24"/>
              </w:rPr>
              <w:t>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r>
              <w:rPr>
                <w:rFonts w:ascii="宋体" w:hAnsi="宋体" w:eastAsia="宋体" w:cs="宋体"/>
                <w:kern w:val="0"/>
                <w:sz w:val="24"/>
                <w:szCs w:val="24"/>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1</w:t>
            </w:r>
            <w:r>
              <w:rPr>
                <w:rFonts w:ascii="仿宋" w:hAnsi="仿宋" w:eastAsia="仿宋" w:cs="宋体"/>
                <w:kern w:val="0"/>
                <w:sz w:val="24"/>
                <w:szCs w:val="24"/>
              </w:rPr>
              <w:t>200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tc>
        <w:tc>
          <w:tcPr>
            <w:tcW w:w="736" w:type="dxa"/>
            <w:tcBorders>
              <w:tl2br w:val="nil"/>
              <w:tr2bl w:val="nil"/>
            </w:tcBorders>
            <w:vAlign w:val="center"/>
          </w:tcPr>
          <w:p>
            <w:r>
              <w:rPr>
                <w:rFonts w:hint="eastAsia"/>
              </w:rPr>
              <w:t>C</w:t>
            </w:r>
            <w:r>
              <w:t>3</w:t>
            </w:r>
          </w:p>
        </w:tc>
        <w:tc>
          <w:tcPr>
            <w:tcW w:w="2196" w:type="dxa"/>
            <w:tcBorders>
              <w:tl2br w:val="nil"/>
              <w:tr2bl w:val="nil"/>
            </w:tcBorders>
            <w:vAlign w:val="center"/>
          </w:tcPr>
          <w:p>
            <w:r>
              <w:rPr>
                <w:rFonts w:hint="eastAsia"/>
              </w:rPr>
              <w:t>白骨壤糖原合成酶激酶耐盐功能及分子调控机制的研究</w:t>
            </w:r>
          </w:p>
        </w:tc>
        <w:tc>
          <w:tcPr>
            <w:tcW w:w="1036" w:type="dxa"/>
            <w:tcBorders>
              <w:tl2br w:val="nil"/>
              <w:tr2bl w:val="nil"/>
            </w:tcBorders>
            <w:vAlign w:val="center"/>
          </w:tcPr>
          <w:p>
            <w:r>
              <w:t>321QN232</w:t>
            </w:r>
          </w:p>
        </w:tc>
        <w:tc>
          <w:tcPr>
            <w:tcW w:w="932" w:type="dxa"/>
            <w:tcBorders>
              <w:tl2br w:val="nil"/>
              <w:tr2bl w:val="nil"/>
            </w:tcBorders>
            <w:vAlign w:val="center"/>
          </w:tcPr>
          <w:p>
            <w:r>
              <w:rPr>
                <w:rFonts w:hint="eastAsia"/>
              </w:rPr>
              <w:t>海南省自然科学基金青年项目</w:t>
            </w:r>
          </w:p>
        </w:tc>
        <w:tc>
          <w:tcPr>
            <w:tcW w:w="850" w:type="dxa"/>
            <w:tcBorders>
              <w:tl2br w:val="nil"/>
              <w:tr2bl w:val="nil"/>
            </w:tcBorders>
            <w:vAlign w:val="center"/>
          </w:tcPr>
          <w:p>
            <w:r>
              <w:rPr>
                <w:rFonts w:hint="eastAsia"/>
              </w:rPr>
              <w:t>2</w:t>
            </w:r>
            <w:r>
              <w:t>021</w:t>
            </w:r>
            <w:r>
              <w:rPr>
                <w:rFonts w:hint="eastAsia"/>
              </w:rPr>
              <w:t>年</w:t>
            </w:r>
            <w:r>
              <w:t>9</w:t>
            </w:r>
            <w:r>
              <w:rPr>
                <w:rFonts w:hint="eastAsia"/>
              </w:rPr>
              <w:t>月</w:t>
            </w:r>
          </w:p>
        </w:tc>
        <w:tc>
          <w:tcPr>
            <w:tcW w:w="851" w:type="dxa"/>
            <w:tcBorders>
              <w:tl2br w:val="nil"/>
              <w:tr2bl w:val="nil"/>
            </w:tcBorders>
            <w:vAlign w:val="center"/>
          </w:tcPr>
          <w:p>
            <w:r>
              <w:rPr>
                <w:rFonts w:hint="eastAsia"/>
              </w:rPr>
              <w:t>5</w:t>
            </w:r>
            <w:r>
              <w:t>.0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1</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rPr>
              <w:t>C</w:t>
            </w:r>
            <w:r>
              <w:t>3</w:t>
            </w:r>
          </w:p>
        </w:tc>
        <w:tc>
          <w:tcPr>
            <w:tcW w:w="2196" w:type="dxa"/>
            <w:tcBorders>
              <w:tl2br w:val="nil"/>
              <w:tr2bl w:val="nil"/>
            </w:tcBorders>
            <w:vAlign w:val="center"/>
          </w:tcPr>
          <w:p>
            <w:r>
              <w:rPr>
                <w:rFonts w:hint="eastAsia"/>
              </w:rPr>
              <w:t>白骨壤l</w:t>
            </w:r>
            <w:r>
              <w:t>ncRNA</w:t>
            </w:r>
            <w:r>
              <w:rPr>
                <w:rFonts w:hint="eastAsia"/>
              </w:rPr>
              <w:t>的鉴定及其调控盐胁迫响应分子机制的研究</w:t>
            </w:r>
          </w:p>
        </w:tc>
        <w:tc>
          <w:tcPr>
            <w:tcW w:w="1036" w:type="dxa"/>
            <w:tcBorders>
              <w:tl2br w:val="nil"/>
              <w:tr2bl w:val="nil"/>
            </w:tcBorders>
            <w:vAlign w:val="center"/>
          </w:tcPr>
          <w:p>
            <w:r>
              <w:rPr>
                <w:rFonts w:hint="eastAsia"/>
              </w:rPr>
              <w:t>3</w:t>
            </w:r>
            <w:r>
              <w:t>22</w:t>
            </w:r>
            <w:r>
              <w:rPr>
                <w:rFonts w:hint="eastAsia"/>
              </w:rPr>
              <w:t>RC</w:t>
            </w:r>
            <w:r>
              <w:t>657</w:t>
            </w:r>
          </w:p>
        </w:tc>
        <w:tc>
          <w:tcPr>
            <w:tcW w:w="932" w:type="dxa"/>
            <w:tcBorders>
              <w:tl2br w:val="nil"/>
              <w:tr2bl w:val="nil"/>
            </w:tcBorders>
            <w:vAlign w:val="center"/>
          </w:tcPr>
          <w:p>
            <w:r>
              <w:rPr>
                <w:rFonts w:hint="eastAsia"/>
              </w:rPr>
              <w:t>海南省自然科学基金高层次人才项目</w:t>
            </w:r>
          </w:p>
        </w:tc>
        <w:tc>
          <w:tcPr>
            <w:tcW w:w="850" w:type="dxa"/>
            <w:tcBorders>
              <w:tl2br w:val="nil"/>
              <w:tr2bl w:val="nil"/>
            </w:tcBorders>
            <w:vAlign w:val="center"/>
          </w:tcPr>
          <w:p>
            <w:r>
              <w:rPr>
                <w:rFonts w:hint="eastAsia"/>
              </w:rPr>
              <w:t>2</w:t>
            </w:r>
            <w:r>
              <w:t>022</w:t>
            </w:r>
            <w:r>
              <w:rPr>
                <w:rFonts w:hint="eastAsia"/>
              </w:rPr>
              <w:t>年4月</w:t>
            </w:r>
          </w:p>
        </w:tc>
        <w:tc>
          <w:tcPr>
            <w:tcW w:w="851" w:type="dxa"/>
            <w:tcBorders>
              <w:tl2br w:val="nil"/>
              <w:tr2bl w:val="nil"/>
            </w:tcBorders>
            <w:vAlign w:val="center"/>
          </w:tcPr>
          <w:p>
            <w:r>
              <w:rPr>
                <w:rFonts w:hint="eastAsia"/>
              </w:rPr>
              <w:t>1</w:t>
            </w:r>
            <w:r>
              <w:t>0.0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1</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036" w:type="dxa"/>
            <w:tcBorders>
              <w:bottom w:val="single" w:color="000000" w:sz="12" w:space="0"/>
              <w:tl2br w:val="nil"/>
              <w:tr2bl w:val="nil"/>
            </w:tcBorders>
            <w:vAlign w:val="center"/>
          </w:tcPr>
          <w:p/>
        </w:tc>
        <w:tc>
          <w:tcPr>
            <w:tcW w:w="932"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r>
              <w:rPr>
                <w:rFonts w:hint="eastAsia"/>
              </w:rPr>
              <w:t>1</w:t>
            </w:r>
          </w:p>
        </w:tc>
        <w:tc>
          <w:tcPr>
            <w:tcW w:w="736" w:type="dxa"/>
            <w:tcBorders>
              <w:top w:val="single" w:color="000000" w:sz="12" w:space="0"/>
            </w:tcBorders>
            <w:vAlign w:val="center"/>
          </w:tcPr>
          <w:p>
            <w:r>
              <w:rPr>
                <w:rFonts w:hint="eastAsia"/>
              </w:rPr>
              <w:t>F</w:t>
            </w:r>
          </w:p>
        </w:tc>
        <w:tc>
          <w:tcPr>
            <w:tcW w:w="2196" w:type="dxa"/>
            <w:tcBorders>
              <w:top w:val="single" w:color="000000" w:sz="12" w:space="0"/>
            </w:tcBorders>
            <w:vAlign w:val="center"/>
          </w:tcPr>
          <w:p>
            <w:r>
              <w:rPr>
                <w:rFonts w:hint="eastAsia" w:ascii="Times New Roman" w:hAnsi="Times New Roman" w:cs="Times New Roman"/>
              </w:rPr>
              <w:t>陆地棉GhSKs基因功能及盐胁迫响应机制的研究</w:t>
            </w:r>
          </w:p>
        </w:tc>
        <w:tc>
          <w:tcPr>
            <w:tcW w:w="1036" w:type="dxa"/>
            <w:tcBorders>
              <w:top w:val="single" w:color="000000" w:sz="12" w:space="0"/>
            </w:tcBorders>
            <w:vAlign w:val="center"/>
          </w:tcPr>
          <w:p>
            <w:r>
              <w:rPr>
                <w:rFonts w:hint="eastAsia" w:ascii="Times New Roman" w:hAnsi="Times New Roman" w:cs="Times New Roman"/>
              </w:rPr>
              <w:t>CB2021A17</w:t>
            </w:r>
          </w:p>
        </w:tc>
        <w:tc>
          <w:tcPr>
            <w:tcW w:w="932" w:type="dxa"/>
            <w:tcBorders>
              <w:top w:val="single" w:color="000000" w:sz="12" w:space="0"/>
            </w:tcBorders>
            <w:vAlign w:val="center"/>
          </w:tcPr>
          <w:p>
            <w:r>
              <w:rPr>
                <w:rFonts w:hint="eastAsia"/>
              </w:rPr>
              <w:t>棉花生物学国家重点实验室</w:t>
            </w:r>
          </w:p>
        </w:tc>
        <w:tc>
          <w:tcPr>
            <w:tcW w:w="850" w:type="dxa"/>
            <w:tcBorders>
              <w:top w:val="single" w:color="000000" w:sz="12" w:space="0"/>
            </w:tcBorders>
            <w:vAlign w:val="center"/>
          </w:tcPr>
          <w:p>
            <w:r>
              <w:t>2021</w:t>
            </w:r>
            <w:r>
              <w:rPr>
                <w:rFonts w:hint="eastAsia"/>
              </w:rPr>
              <w:t>年</w:t>
            </w:r>
            <w:r>
              <w:t>1</w:t>
            </w:r>
            <w:r>
              <w:rPr>
                <w:rFonts w:hint="eastAsia"/>
              </w:rPr>
              <w:t>月</w:t>
            </w:r>
          </w:p>
        </w:tc>
        <w:tc>
          <w:tcPr>
            <w:tcW w:w="851" w:type="dxa"/>
            <w:tcBorders>
              <w:top w:val="single" w:color="000000" w:sz="12" w:space="0"/>
            </w:tcBorders>
            <w:vAlign w:val="center"/>
          </w:tcPr>
          <w:p>
            <w:r>
              <w:rPr>
                <w:rFonts w:hint="eastAsia"/>
              </w:rPr>
              <w:t>4</w:t>
            </w:r>
            <w:r>
              <w:t>.5</w:t>
            </w:r>
          </w:p>
        </w:tc>
        <w:tc>
          <w:tcPr>
            <w:tcW w:w="709" w:type="dxa"/>
            <w:tcBorders>
              <w:top w:val="single" w:color="000000" w:sz="12" w:space="0"/>
            </w:tcBorders>
            <w:vAlign w:val="center"/>
          </w:tcPr>
          <w:p>
            <w:r>
              <w:rPr>
                <w:rFonts w:hint="eastAsia"/>
              </w:rPr>
              <w:t>是</w:t>
            </w:r>
          </w:p>
        </w:tc>
        <w:tc>
          <w:tcPr>
            <w:tcW w:w="708" w:type="dxa"/>
            <w:tcBorders>
              <w:top w:val="single" w:color="000000" w:sz="12" w:space="0"/>
            </w:tcBorders>
            <w:vAlign w:val="center"/>
          </w:tcPr>
          <w:p>
            <w:r>
              <w:rPr>
                <w:rFonts w:hint="eastAsia"/>
              </w:rPr>
              <w:t>是</w:t>
            </w: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1238"/>
        <w:gridCol w:w="1016"/>
        <w:gridCol w:w="2250"/>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1238"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016"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2250"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tcPr>
          <w:p>
            <w:pPr>
              <w:jc w:val="center"/>
            </w:pPr>
            <w:r>
              <w:rPr>
                <w:rFonts w:hint="eastAsia"/>
              </w:rPr>
              <w:t>1</w:t>
            </w:r>
          </w:p>
        </w:tc>
        <w:tc>
          <w:tcPr>
            <w:tcW w:w="1238" w:type="dxa"/>
            <w:tcBorders>
              <w:tl2br w:val="nil"/>
              <w:tr2bl w:val="nil"/>
            </w:tcBorders>
          </w:tcPr>
          <w:p>
            <w:pPr>
              <w:widowControl/>
              <w:jc w:val="center"/>
            </w:pPr>
            <w:r>
              <w:rPr>
                <w:rFonts w:hint="eastAsia"/>
              </w:rPr>
              <w:t>B</w:t>
            </w:r>
          </w:p>
        </w:tc>
        <w:tc>
          <w:tcPr>
            <w:tcW w:w="1016" w:type="dxa"/>
            <w:tcBorders>
              <w:tl2br w:val="nil"/>
              <w:tr2bl w:val="nil"/>
            </w:tcBorders>
          </w:tcPr>
          <w:p>
            <w:pPr>
              <w:widowControl/>
              <w:jc w:val="center"/>
            </w:pPr>
            <w:r>
              <w:rPr>
                <w:sz w:val="24"/>
              </w:rPr>
              <w:t xml:space="preserve">Genome-wide identification, characterization, and functional analysis of lncRNAs in </w:t>
            </w:r>
            <w:r>
              <w:rPr>
                <w:i/>
                <w:iCs/>
                <w:sz w:val="24"/>
              </w:rPr>
              <w:t>Hevea brasiliensis</w:t>
            </w:r>
          </w:p>
        </w:tc>
        <w:tc>
          <w:tcPr>
            <w:tcW w:w="2250" w:type="dxa"/>
            <w:tcBorders>
              <w:tl2br w:val="nil"/>
              <w:tr2bl w:val="nil"/>
            </w:tcBorders>
          </w:tcPr>
          <w:p>
            <w:pPr>
              <w:widowControl/>
              <w:jc w:val="center"/>
            </w:pPr>
            <w:r>
              <w:rPr>
                <w:rFonts w:hint="eastAsia"/>
              </w:rPr>
              <w:t>Frontiers</w:t>
            </w:r>
            <w:r>
              <w:t xml:space="preserve"> in plant science, 2022</w:t>
            </w:r>
            <w:r>
              <w:rPr>
                <w:rFonts w:hint="eastAsia"/>
              </w:rPr>
              <w:t>年1</w:t>
            </w:r>
            <w:r>
              <w:t>0</w:t>
            </w:r>
            <w:r>
              <w:rPr>
                <w:rFonts w:hint="eastAsia"/>
              </w:rPr>
              <w:t>月，卷1</w:t>
            </w:r>
            <w:r>
              <w:t>3</w:t>
            </w:r>
            <w:r>
              <w:rPr>
                <w:rFonts w:hint="eastAsia"/>
              </w:rPr>
              <w:t>，页码1</w:t>
            </w:r>
            <w:r>
              <w:t>012576</w:t>
            </w:r>
          </w:p>
        </w:tc>
        <w:tc>
          <w:tcPr>
            <w:tcW w:w="796" w:type="dxa"/>
            <w:tcBorders>
              <w:tl2br w:val="nil"/>
              <w:tr2bl w:val="nil"/>
            </w:tcBorders>
          </w:tcPr>
          <w:p>
            <w:pPr>
              <w:widowControl/>
              <w:jc w:val="center"/>
            </w:pPr>
            <w:r>
              <w:rPr>
                <w:rFonts w:hint="eastAsia"/>
              </w:rPr>
              <w:t>8</w:t>
            </w:r>
            <w:r>
              <w:t>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6</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tcPr>
          <w:p>
            <w:pPr>
              <w:jc w:val="center"/>
            </w:pPr>
            <w:r>
              <w:rPr>
                <w:rFonts w:hint="eastAsia"/>
              </w:rPr>
              <w:t>2</w:t>
            </w:r>
          </w:p>
        </w:tc>
        <w:tc>
          <w:tcPr>
            <w:tcW w:w="1238" w:type="dxa"/>
            <w:tcBorders>
              <w:tl2br w:val="nil"/>
              <w:tr2bl w:val="nil"/>
            </w:tcBorders>
          </w:tcPr>
          <w:p>
            <w:pPr>
              <w:widowControl/>
              <w:jc w:val="center"/>
            </w:pPr>
            <w:r>
              <w:rPr>
                <w:rFonts w:hint="eastAsia"/>
              </w:rPr>
              <w:t>B</w:t>
            </w:r>
          </w:p>
        </w:tc>
        <w:tc>
          <w:tcPr>
            <w:tcW w:w="1016" w:type="dxa"/>
            <w:tcBorders>
              <w:tl2br w:val="nil"/>
              <w:tr2bl w:val="nil"/>
            </w:tcBorders>
          </w:tcPr>
          <w:p>
            <w:pPr>
              <w:widowControl/>
              <w:jc w:val="center"/>
            </w:pPr>
            <w:r>
              <w:rPr>
                <w:sz w:val="24"/>
              </w:rPr>
              <w:t>Comparative phosphoproteomic analysis of BR-defective mutant reveals a key role of GhSK13 in regulating cotton fiber development</w:t>
            </w:r>
          </w:p>
        </w:tc>
        <w:tc>
          <w:tcPr>
            <w:tcW w:w="2250" w:type="dxa"/>
            <w:tcBorders>
              <w:tl2br w:val="nil"/>
              <w:tr2bl w:val="nil"/>
            </w:tcBorders>
          </w:tcPr>
          <w:p>
            <w:pPr>
              <w:widowControl/>
              <w:jc w:val="center"/>
            </w:pPr>
            <w:r>
              <w:rPr>
                <w:rFonts w:hint="eastAsia"/>
              </w:rPr>
              <w:t>S</w:t>
            </w:r>
            <w:r>
              <w:t>cience China Life Sciences</w:t>
            </w:r>
            <w:r>
              <w:rPr>
                <w:rFonts w:hint="eastAsia"/>
              </w:rPr>
              <w:t>，2</w:t>
            </w:r>
            <w:r>
              <w:t>020</w:t>
            </w:r>
            <w:r>
              <w:rPr>
                <w:rFonts w:hint="eastAsia"/>
              </w:rPr>
              <w:t>年7月</w:t>
            </w:r>
          </w:p>
        </w:tc>
        <w:tc>
          <w:tcPr>
            <w:tcW w:w="796" w:type="dxa"/>
            <w:tcBorders>
              <w:tl2br w:val="nil"/>
              <w:tr2bl w:val="nil"/>
            </w:tcBorders>
          </w:tcPr>
          <w:p>
            <w:pPr>
              <w:widowControl/>
              <w:jc w:val="center"/>
            </w:pPr>
            <w:r>
              <w:t>80%</w:t>
            </w:r>
          </w:p>
        </w:tc>
        <w:tc>
          <w:tcPr>
            <w:tcW w:w="923" w:type="dxa"/>
            <w:tcBorders>
              <w:tl2br w:val="nil"/>
              <w:tr2bl w:val="nil"/>
            </w:tcBorders>
          </w:tcPr>
          <w:p>
            <w:pPr>
              <w:widowControl/>
              <w:jc w:val="center"/>
            </w:pPr>
          </w:p>
        </w:tc>
        <w:tc>
          <w:tcPr>
            <w:tcW w:w="1210" w:type="dxa"/>
            <w:tcBorders>
              <w:tl2br w:val="nil"/>
              <w:tr2bl w:val="nil"/>
            </w:tcBorders>
          </w:tcPr>
          <w:p>
            <w:pPr>
              <w:widowControl/>
              <w:jc w:val="center"/>
            </w:pPr>
            <w:r>
              <w:rPr>
                <w:rFonts w:hint="eastAsia"/>
              </w:rPr>
              <w:t>有</w:t>
            </w:r>
          </w:p>
        </w:tc>
        <w:tc>
          <w:tcPr>
            <w:tcW w:w="831" w:type="dxa"/>
            <w:tcBorders>
              <w:tl2br w:val="nil"/>
              <w:tr2bl w:val="nil"/>
            </w:tcBorders>
          </w:tcPr>
          <w:p>
            <w:pPr>
              <w:widowControl/>
              <w:jc w:val="center"/>
            </w:pPr>
            <w:r>
              <w:rPr>
                <w:rFonts w:hint="eastAsia"/>
              </w:rPr>
              <w:t>6</w:t>
            </w:r>
            <w:r>
              <w:t>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tcPr>
          <w:p>
            <w:pPr>
              <w:jc w:val="center"/>
            </w:pPr>
          </w:p>
        </w:tc>
        <w:tc>
          <w:tcPr>
            <w:tcW w:w="1238" w:type="dxa"/>
            <w:tcBorders>
              <w:bottom w:val="single" w:color="000000" w:sz="12" w:space="0"/>
              <w:tl2br w:val="nil"/>
              <w:tr2bl w:val="nil"/>
            </w:tcBorders>
          </w:tcPr>
          <w:p>
            <w:pPr>
              <w:widowControl/>
              <w:jc w:val="center"/>
            </w:pPr>
          </w:p>
        </w:tc>
        <w:tc>
          <w:tcPr>
            <w:tcW w:w="1016" w:type="dxa"/>
            <w:tcBorders>
              <w:bottom w:val="single" w:color="000000" w:sz="12" w:space="0"/>
              <w:tl2br w:val="nil"/>
              <w:tr2bl w:val="nil"/>
            </w:tcBorders>
          </w:tcPr>
          <w:p>
            <w:pPr>
              <w:widowControl/>
              <w:jc w:val="center"/>
            </w:pPr>
          </w:p>
        </w:tc>
        <w:tc>
          <w:tcPr>
            <w:tcW w:w="2250" w:type="dxa"/>
            <w:tcBorders>
              <w:bottom w:val="single" w:color="000000" w:sz="12" w:space="0"/>
              <w:tl2br w:val="nil"/>
              <w:tr2bl w:val="nil"/>
            </w:tcBorders>
          </w:tcPr>
          <w:p>
            <w:pPr>
              <w:widowControl/>
              <w:jc w:val="center"/>
            </w:pPr>
          </w:p>
        </w:tc>
        <w:tc>
          <w:tcPr>
            <w:tcW w:w="796" w:type="dxa"/>
            <w:tcBorders>
              <w:bottom w:val="single" w:color="000000" w:sz="12" w:space="0"/>
              <w:tl2br w:val="nil"/>
              <w:tr2bl w:val="nil"/>
            </w:tcBorders>
          </w:tcPr>
          <w:p>
            <w:pPr>
              <w:widowControl/>
              <w:jc w:val="center"/>
            </w:pPr>
          </w:p>
        </w:tc>
        <w:tc>
          <w:tcPr>
            <w:tcW w:w="923"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pPr>
          </w:p>
        </w:tc>
        <w:tc>
          <w:tcPr>
            <w:tcW w:w="1238" w:type="dxa"/>
            <w:tcBorders>
              <w:top w:val="single" w:color="000000" w:sz="12" w:space="0"/>
            </w:tcBorders>
          </w:tcPr>
          <w:p>
            <w:pPr>
              <w:widowControl/>
              <w:jc w:val="center"/>
            </w:pPr>
          </w:p>
        </w:tc>
        <w:tc>
          <w:tcPr>
            <w:tcW w:w="1016" w:type="dxa"/>
            <w:tcBorders>
              <w:top w:val="single" w:color="000000" w:sz="12" w:space="0"/>
            </w:tcBorders>
          </w:tcPr>
          <w:p>
            <w:pPr>
              <w:widowControl/>
              <w:jc w:val="center"/>
            </w:pPr>
          </w:p>
        </w:tc>
        <w:tc>
          <w:tcPr>
            <w:tcW w:w="2250" w:type="dxa"/>
            <w:tcBorders>
              <w:top w:val="single" w:color="000000" w:sz="12" w:space="0"/>
            </w:tcBorders>
          </w:tcPr>
          <w:p>
            <w:pPr>
              <w:widowControl/>
              <w:jc w:val="center"/>
            </w:pPr>
          </w:p>
        </w:tc>
        <w:tc>
          <w:tcPr>
            <w:tcW w:w="796" w:type="dxa"/>
            <w:tcBorders>
              <w:top w:val="single" w:color="000000" w:sz="12" w:space="0"/>
            </w:tcBorders>
          </w:tcPr>
          <w:p>
            <w:pPr>
              <w:widowControl/>
              <w:jc w:val="center"/>
            </w:pPr>
          </w:p>
        </w:tc>
        <w:tc>
          <w:tcPr>
            <w:tcW w:w="923"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016" w:type="dxa"/>
            <w:tcBorders>
              <w:tl2br w:val="nil"/>
              <w:tr2bl w:val="nil"/>
            </w:tcBorders>
          </w:tcPr>
          <w:p>
            <w:pPr>
              <w:widowControl/>
              <w:jc w:val="center"/>
            </w:pPr>
          </w:p>
        </w:tc>
        <w:tc>
          <w:tcPr>
            <w:tcW w:w="2250"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1238" w:type="dxa"/>
            <w:tcBorders>
              <w:tl2br w:val="nil"/>
              <w:tr2bl w:val="nil"/>
            </w:tcBorders>
          </w:tcPr>
          <w:p>
            <w:pPr>
              <w:widowControl/>
              <w:jc w:val="center"/>
            </w:pPr>
          </w:p>
        </w:tc>
        <w:tc>
          <w:tcPr>
            <w:tcW w:w="1016" w:type="dxa"/>
            <w:tcBorders>
              <w:tl2br w:val="nil"/>
              <w:tr2bl w:val="nil"/>
            </w:tcBorders>
          </w:tcPr>
          <w:p>
            <w:pPr>
              <w:widowControl/>
              <w:jc w:val="center"/>
            </w:pPr>
          </w:p>
        </w:tc>
        <w:tc>
          <w:tcPr>
            <w:tcW w:w="2250" w:type="dxa"/>
            <w:tcBorders>
              <w:tl2br w:val="nil"/>
              <w:tr2bl w:val="nil"/>
            </w:tcBorders>
          </w:tcPr>
          <w:p>
            <w:pPr>
              <w:widowControl/>
              <w:jc w:val="cente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
            <w:pPr>
              <w:pStyle w:val="5"/>
              <w:spacing w:before="30" w:beforeAutospacing="0" w:after="30" w:afterAutospacing="0"/>
              <w:ind w:firstLine="420"/>
              <w:rPr>
                <w:rFonts w:ascii="宋体" w:hAnsi="宋体" w:eastAsia="宋体" w:cs="仿宋_GB2312"/>
              </w:rPr>
            </w:pPr>
            <w:r>
              <w:rPr>
                <w:rFonts w:hint="eastAsia" w:ascii="宋体" w:hAnsi="宋体" w:eastAsia="宋体" w:cs="仿宋_GB2312"/>
              </w:rPr>
              <w:t>自踏入工作岗位以来，在各位领导的鼓励下、各位教师同仁的帮助和支持下，我一直坚持教育方针，思想端正，服从领导的工作安排，办事认真负责。任现职以来，我为本科生授课共6门，总学时3</w:t>
            </w:r>
            <w:r>
              <w:rPr>
                <w:rFonts w:ascii="宋体" w:hAnsi="宋体" w:eastAsia="宋体" w:cs="仿宋_GB2312"/>
              </w:rPr>
              <w:t>20</w:t>
            </w:r>
            <w:r>
              <w:rPr>
                <w:rFonts w:hint="eastAsia" w:ascii="宋体" w:hAnsi="宋体" w:eastAsia="宋体" w:cs="仿宋_GB2312"/>
              </w:rPr>
              <w:t>，年均课时量为1</w:t>
            </w:r>
            <w:r>
              <w:rPr>
                <w:rFonts w:ascii="宋体" w:hAnsi="宋体" w:eastAsia="宋体" w:cs="仿宋_GB2312"/>
              </w:rPr>
              <w:t>60</w:t>
            </w:r>
            <w:r>
              <w:rPr>
                <w:rFonts w:hint="eastAsia" w:ascii="宋体" w:hAnsi="宋体" w:eastAsia="宋体" w:cs="仿宋_GB2312"/>
              </w:rPr>
              <w:t>学时。主持海南省自然科学基金项目2项，棉花生物学国家重点实验室开放课题</w:t>
            </w:r>
            <w:r>
              <w:rPr>
                <w:rFonts w:ascii="宋体" w:hAnsi="宋体" w:eastAsia="宋体" w:cs="仿宋_GB2312"/>
              </w:rPr>
              <w:t>1</w:t>
            </w:r>
            <w:r>
              <w:rPr>
                <w:rFonts w:hint="eastAsia" w:ascii="宋体" w:hAnsi="宋体" w:eastAsia="宋体" w:cs="仿宋_GB2312"/>
              </w:rPr>
              <w:t>项。在中科院分区，SCI一区TOP和一区杂志各发表文章1篇，共2篇。指导生命科学竞赛一项，获海南省三等奖；指导海南省大学生创新项目一项。从2</w:t>
            </w:r>
            <w:r>
              <w:rPr>
                <w:rFonts w:ascii="宋体" w:hAnsi="宋体" w:eastAsia="宋体" w:cs="仿宋_GB2312"/>
              </w:rPr>
              <w:t>020</w:t>
            </w:r>
            <w:r>
              <w:rPr>
                <w:rFonts w:hint="eastAsia" w:ascii="宋体" w:hAnsi="宋体" w:eastAsia="宋体" w:cs="仿宋_GB2312"/>
              </w:rPr>
              <w:t>年9月担任2</w:t>
            </w:r>
            <w:r>
              <w:rPr>
                <w:rFonts w:ascii="宋体" w:hAnsi="宋体" w:eastAsia="宋体" w:cs="仿宋_GB2312"/>
              </w:rPr>
              <w:t>020</w:t>
            </w:r>
            <w:r>
              <w:rPr>
                <w:rFonts w:hint="eastAsia" w:ascii="宋体" w:hAnsi="宋体" w:eastAsia="宋体" w:cs="仿宋_GB2312"/>
              </w:rPr>
              <w:t>级生物科学2班班主任至今。</w:t>
            </w:r>
          </w:p>
          <w:p>
            <w:pPr>
              <w:pStyle w:val="5"/>
              <w:spacing w:before="30" w:beforeAutospacing="0" w:after="30" w:afterAutospacing="0"/>
              <w:ind w:firstLine="420"/>
              <w:rPr>
                <w:rFonts w:ascii="宋体" w:hAnsi="宋体" w:eastAsia="宋体" w:cs="仿宋_GB2312"/>
              </w:rPr>
            </w:pPr>
            <w:r>
              <w:rPr>
                <w:rFonts w:hint="eastAsia" w:ascii="宋体" w:hAnsi="宋体" w:eastAsia="宋体" w:cs="仿宋_GB2312"/>
              </w:rPr>
              <w:t>在政治思想方面，本人自始至终都以共产党员的先锋模范带头作用严格要求自己，热爱祖国，坚决拥护共产党的领导，以人民教师和科研工作者的高度责任感和使命感，立志奉献于国家的高等教育和科技进步事业。自觉遵守《教师法》中的法律法规，认真执行教育方针，积极参加各种教研活动，不断提高自己的业务水平，为人师表。</w:t>
            </w:r>
          </w:p>
          <w:p>
            <w:pPr>
              <w:pStyle w:val="5"/>
              <w:spacing w:before="30" w:beforeAutospacing="0" w:after="30" w:afterAutospacing="0"/>
              <w:ind w:firstLine="420"/>
              <w:rPr>
                <w:rFonts w:ascii="宋体" w:hAnsi="宋体" w:eastAsia="宋体" w:cs="仿宋_GB2312"/>
              </w:rPr>
            </w:pPr>
            <w:r>
              <w:rPr>
                <w:rFonts w:hint="eastAsia" w:ascii="宋体" w:hAnsi="宋体" w:eastAsia="宋体" w:cs="仿宋_GB2312"/>
              </w:rPr>
              <w:t>在教学工作上，我积极参与学校和学院安排的思想教育活动和教育教学培训，教学思想端正，工作态度良好。过去的</w:t>
            </w:r>
            <w:r>
              <w:rPr>
                <w:rFonts w:ascii="宋体" w:hAnsi="宋体" w:eastAsia="宋体" w:cs="仿宋_GB2312"/>
              </w:rPr>
              <w:t>2</w:t>
            </w:r>
            <w:r>
              <w:rPr>
                <w:rFonts w:hint="eastAsia" w:ascii="宋体" w:hAnsi="宋体" w:eastAsia="宋体" w:cs="仿宋_GB2312"/>
              </w:rPr>
              <w:t>学年，我主要担任2</w:t>
            </w:r>
            <w:r>
              <w:rPr>
                <w:rFonts w:ascii="宋体" w:hAnsi="宋体" w:eastAsia="宋体" w:cs="仿宋_GB2312"/>
              </w:rPr>
              <w:t>019</w:t>
            </w:r>
            <w:r>
              <w:rPr>
                <w:rFonts w:hint="eastAsia" w:ascii="宋体" w:hAnsi="宋体" w:eastAsia="宋体" w:cs="仿宋_GB2312"/>
              </w:rPr>
              <w:t>级和2020级生物科学专业的《生物化学》、《生物化学实验》课程和</w:t>
            </w:r>
            <w:r>
              <w:rPr>
                <w:rFonts w:ascii="宋体" w:hAnsi="宋体" w:eastAsia="宋体" w:cs="仿宋_GB2312"/>
              </w:rPr>
              <w:t>2019</w:t>
            </w:r>
            <w:r>
              <w:rPr>
                <w:rFonts w:hint="eastAsia" w:ascii="宋体" w:hAnsi="宋体" w:eastAsia="宋体" w:cs="仿宋_GB2312"/>
              </w:rPr>
              <w:t>级生物技术专业《分子生物学》、《分子生物学实验》，2</w:t>
            </w:r>
            <w:r>
              <w:rPr>
                <w:rFonts w:ascii="宋体" w:hAnsi="宋体" w:eastAsia="宋体" w:cs="仿宋_GB2312"/>
              </w:rPr>
              <w:t>019</w:t>
            </w:r>
            <w:r>
              <w:rPr>
                <w:rFonts w:hint="eastAsia" w:ascii="宋体" w:hAnsi="宋体" w:eastAsia="宋体" w:cs="仿宋_GB2312"/>
              </w:rPr>
              <w:t>和202</w:t>
            </w:r>
            <w:r>
              <w:rPr>
                <w:rFonts w:ascii="宋体" w:hAnsi="宋体" w:eastAsia="宋体" w:cs="仿宋_GB2312"/>
              </w:rPr>
              <w:t>0</w:t>
            </w:r>
            <w:r>
              <w:rPr>
                <w:rFonts w:hint="eastAsia" w:ascii="宋体" w:hAnsi="宋体" w:eastAsia="宋体" w:cs="仿宋_GB2312"/>
              </w:rPr>
              <w:t xml:space="preserve">级地化生大类生物科学专业《细胞生物学》课程的教学工作。同时还参与完成生物科学师范专业师范生顶岗实习的岗前培训和返校说课培训工作。参与海南省“505工程”工作。在教学上，我积极向老教师学习上课模式、方式和技巧，积极听取老教师听课后的意见；认真总结、钻研、认真备课，接合学生实际情况使教学工作有计划、有组织、有步骤平稳的开展。虽然自身教学能力和技巧也在老教师的帮助下得以提升，但是仍需要谦虚谨慎、刻苦钻研、争取向教学能手老师们看齐！ </w:t>
            </w:r>
          </w:p>
          <w:p>
            <w:pPr>
              <w:pStyle w:val="5"/>
              <w:spacing w:before="30" w:beforeAutospacing="0" w:after="30" w:afterAutospacing="0"/>
              <w:ind w:firstLine="420"/>
              <w:rPr>
                <w:rFonts w:ascii="宋体" w:hAnsi="宋体" w:eastAsia="宋体" w:cs="仿宋_GB2312"/>
              </w:rPr>
            </w:pPr>
            <w:r>
              <w:rPr>
                <w:rFonts w:hint="eastAsia" w:ascii="宋体" w:hAnsi="宋体" w:eastAsia="宋体" w:cs="仿宋_GB2312"/>
              </w:rPr>
              <w:t>在科研工作上，本人主持海南省自然科学基金（高层次人才项目）和青年基金项目各1项；主持棉花生物学国家重点实验室开放课题项目1项（已结项）；作为第一作者和通讯作者发表SCI 一区和一区Top文章各1篇。我积极了解并融入学院热带岛屿生态学教育部重点实验室的研究方向和领域，结合自身研究背景和特长，开展相关领域研究。</w:t>
            </w:r>
          </w:p>
          <w:p>
            <w:pPr>
              <w:pStyle w:val="5"/>
              <w:spacing w:before="30" w:beforeAutospacing="0" w:after="30" w:afterAutospacing="0"/>
              <w:ind w:firstLine="420"/>
              <w:rPr>
                <w:rFonts w:ascii="宋体" w:hAnsi="宋体" w:eastAsia="宋体" w:cs="仿宋_GB2312"/>
              </w:rPr>
            </w:pPr>
            <w:r>
              <w:rPr>
                <w:rFonts w:hint="eastAsia" w:ascii="宋体" w:hAnsi="宋体" w:eastAsia="宋体" w:cs="仿宋_GB2312"/>
              </w:rPr>
              <w:t>此外，我积极参与学院各项工作，参与生物科学专业二级师范认证工作，参与整理学院中海南师范大学第五轮校级特色学科的申报工作；生态学一级硕士/博士点状态数据整理；参与完成2022年度一流本科专业建设点检查工作；作为二级工会委员，协助二级工会主席和校工会完成工会中相关工作，为后续更好的开展教学工作奠定基础。另外，我同时担任20级生物科学2班班主任，协助年级辅导员和学院书记完成学生管理等一系列工作。</w:t>
            </w:r>
          </w:p>
          <w:p>
            <w:pPr>
              <w:pStyle w:val="5"/>
              <w:ind w:firstLine="480" w:firstLineChars="200"/>
              <w:rPr>
                <w:rFonts w:ascii="宋体" w:hAnsi="宋体" w:eastAsia="宋体" w:cs="仿宋_GB2312"/>
              </w:rPr>
            </w:pPr>
          </w:p>
          <w:p/>
          <w:p>
            <w:r>
              <w:rPr>
                <w:rFonts w:hint="eastAsia"/>
              </w:rPr>
              <w:t>本人承诺：</w:t>
            </w:r>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王玲玲</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生命科学学院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生物学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hZmM4MDBiMGMyOWIxOTNmMDE5OTQ5NzNjN2Q0YWUifQ=="/>
  </w:docVars>
  <w:rsids>
    <w:rsidRoot w:val="0033126B"/>
    <w:rsid w:val="00000EB7"/>
    <w:rsid w:val="000077C7"/>
    <w:rsid w:val="000204C4"/>
    <w:rsid w:val="0002075C"/>
    <w:rsid w:val="00024587"/>
    <w:rsid w:val="00025AA6"/>
    <w:rsid w:val="00035ADA"/>
    <w:rsid w:val="00050B41"/>
    <w:rsid w:val="00052874"/>
    <w:rsid w:val="00057965"/>
    <w:rsid w:val="000612A2"/>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A7C26"/>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3C37"/>
    <w:rsid w:val="003B5BA5"/>
    <w:rsid w:val="003B7454"/>
    <w:rsid w:val="003C6F7B"/>
    <w:rsid w:val="003D6C2A"/>
    <w:rsid w:val="003E3539"/>
    <w:rsid w:val="003F6AC8"/>
    <w:rsid w:val="00403377"/>
    <w:rsid w:val="00410217"/>
    <w:rsid w:val="0041041C"/>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3798"/>
    <w:rsid w:val="0057651F"/>
    <w:rsid w:val="0057729A"/>
    <w:rsid w:val="00580981"/>
    <w:rsid w:val="00583E93"/>
    <w:rsid w:val="005B6A8B"/>
    <w:rsid w:val="005E06B1"/>
    <w:rsid w:val="005E3440"/>
    <w:rsid w:val="005E58F4"/>
    <w:rsid w:val="005F046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D6703"/>
    <w:rsid w:val="006E5989"/>
    <w:rsid w:val="006E7E68"/>
    <w:rsid w:val="007031A9"/>
    <w:rsid w:val="00713721"/>
    <w:rsid w:val="00714623"/>
    <w:rsid w:val="00724356"/>
    <w:rsid w:val="007313BA"/>
    <w:rsid w:val="00734128"/>
    <w:rsid w:val="007415CC"/>
    <w:rsid w:val="00741F1A"/>
    <w:rsid w:val="00746377"/>
    <w:rsid w:val="007551B0"/>
    <w:rsid w:val="00777776"/>
    <w:rsid w:val="00777F44"/>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063C8"/>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42385"/>
    <w:rsid w:val="00A600A4"/>
    <w:rsid w:val="00A62FA7"/>
    <w:rsid w:val="00A64CA0"/>
    <w:rsid w:val="00A74B54"/>
    <w:rsid w:val="00A95250"/>
    <w:rsid w:val="00AA252B"/>
    <w:rsid w:val="00AB4B1E"/>
    <w:rsid w:val="00AC0477"/>
    <w:rsid w:val="00AD5CCC"/>
    <w:rsid w:val="00AE18A7"/>
    <w:rsid w:val="00AE7DD3"/>
    <w:rsid w:val="00AF2BB3"/>
    <w:rsid w:val="00AF445F"/>
    <w:rsid w:val="00B036DE"/>
    <w:rsid w:val="00B06BF4"/>
    <w:rsid w:val="00B07F41"/>
    <w:rsid w:val="00B16465"/>
    <w:rsid w:val="00B20A8D"/>
    <w:rsid w:val="00B22E22"/>
    <w:rsid w:val="00B27696"/>
    <w:rsid w:val="00B80533"/>
    <w:rsid w:val="00B82843"/>
    <w:rsid w:val="00B828A2"/>
    <w:rsid w:val="00BA646C"/>
    <w:rsid w:val="00BB273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5969"/>
    <w:rsid w:val="00D66B57"/>
    <w:rsid w:val="00D8264A"/>
    <w:rsid w:val="00DA3AD6"/>
    <w:rsid w:val="00DA6B66"/>
    <w:rsid w:val="00DB02E4"/>
    <w:rsid w:val="00DB42ED"/>
    <w:rsid w:val="00DC11A1"/>
    <w:rsid w:val="00DD5F4F"/>
    <w:rsid w:val="00DD7968"/>
    <w:rsid w:val="00DE299B"/>
    <w:rsid w:val="00DE3F60"/>
    <w:rsid w:val="00DE5271"/>
    <w:rsid w:val="00E05692"/>
    <w:rsid w:val="00E07849"/>
    <w:rsid w:val="00E10077"/>
    <w:rsid w:val="00E13D10"/>
    <w:rsid w:val="00E161A5"/>
    <w:rsid w:val="00E206F2"/>
    <w:rsid w:val="00E55EEB"/>
    <w:rsid w:val="00E57AA4"/>
    <w:rsid w:val="00E61743"/>
    <w:rsid w:val="00E62D0D"/>
    <w:rsid w:val="00E713EE"/>
    <w:rsid w:val="00EA2543"/>
    <w:rsid w:val="00EA5CB0"/>
    <w:rsid w:val="00EB1023"/>
    <w:rsid w:val="00ED186D"/>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4062"/>
    <w:rsid w:val="00F75973"/>
    <w:rsid w:val="00F770C0"/>
    <w:rsid w:val="00F82DFD"/>
    <w:rsid w:val="00F837C2"/>
    <w:rsid w:val="00F841C6"/>
    <w:rsid w:val="00F8579D"/>
    <w:rsid w:val="00F93089"/>
    <w:rsid w:val="00F93A86"/>
    <w:rsid w:val="00FA4387"/>
    <w:rsid w:val="00FB3155"/>
    <w:rsid w:val="00FC4395"/>
    <w:rsid w:val="00FD5538"/>
    <w:rsid w:val="00FE0B55"/>
    <w:rsid w:val="00FE52BF"/>
    <w:rsid w:val="00FF0622"/>
    <w:rsid w:val="00FF54C9"/>
    <w:rsid w:val="04F82111"/>
    <w:rsid w:val="05FD1705"/>
    <w:rsid w:val="0643325A"/>
    <w:rsid w:val="0A9B39E1"/>
    <w:rsid w:val="153B3244"/>
    <w:rsid w:val="1E1E083D"/>
    <w:rsid w:val="26C836D0"/>
    <w:rsid w:val="2A685020"/>
    <w:rsid w:val="2CBF0E1F"/>
    <w:rsid w:val="33D6278A"/>
    <w:rsid w:val="38BA425C"/>
    <w:rsid w:val="43D9101E"/>
    <w:rsid w:val="499C1040"/>
    <w:rsid w:val="49C05A15"/>
    <w:rsid w:val="49DF4468"/>
    <w:rsid w:val="6AC14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24</Pages>
  <Words>6871</Words>
  <Characters>6871</Characters>
  <Lines>6871</Lines>
  <Paragraphs>1963</Paragraphs>
  <TotalTime>149</TotalTime>
  <ScaleCrop>false</ScaleCrop>
  <LinksUpToDate>false</LinksUpToDate>
  <CharactersWithSpaces>11779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2022-11-17T03:10:00Z</cp:lastPrinted>
  <dcterms:modified xsi:type="dcterms:W3CDTF">2023-09-06T00:13:49Z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30D47DAD9AAC42E682495CA7025E11C9_13</vt:lpwstr>
  </property>
  <property fmtid="{D5CDD505-2E9C-101B-9397-08002B2CF9AE}" pid="4" name="GrammarlyDocumentId">
    <vt:lpwstr>e8fd8b60309eb9a9755d5b6a276de78f321cfcebe1c9252aaa22c7981ba27870</vt:lpwstr>
  </property>
</Properties>
</file>