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生命科学学院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杨勇       </w:t>
      </w:r>
      <w:r>
        <w:rPr>
          <w:sz w:val="30"/>
          <w:u w:val="single"/>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24"/>
          <w:u w:val="single"/>
        </w:rPr>
        <w:t xml:space="preserve">实验师       </w:t>
      </w:r>
      <w:r>
        <w:rPr>
          <w:sz w:val="24"/>
          <w:u w:val="single"/>
        </w:rPr>
        <w:t xml:space="preserve"> </w:t>
      </w:r>
      <w:r>
        <w:rPr>
          <w:rFonts w:hint="eastAsia"/>
          <w:sz w:val="24"/>
          <w:u w:val="single"/>
        </w:rPr>
        <w:t xml:space="preserve">        </w:t>
      </w:r>
    </w:p>
    <w:p>
      <w:pPr>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sz w:val="24"/>
          <w:u w:val="single"/>
        </w:rPr>
        <w:t xml:space="preserve"> </w:t>
      </w:r>
      <w:r>
        <w:rPr>
          <w:rFonts w:hint="eastAsia"/>
          <w:sz w:val="24"/>
          <w:u w:val="single"/>
        </w:rPr>
        <w:t xml:space="preserve"> 生物学       </w:t>
      </w:r>
      <w:r>
        <w:rPr>
          <w:sz w:val="24"/>
          <w:u w:val="single"/>
        </w:rPr>
        <w:t xml:space="preserve">    </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高级实验师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default"/>
          <w:sz w:val="24"/>
          <w:u w:val="single"/>
          <w:lang w:val="en-US"/>
        </w:rPr>
        <w:t xml:space="preserve">           </w:t>
      </w:r>
      <w:r>
        <w:rPr>
          <w:rFonts w:hint="eastAsia"/>
          <w:sz w:val="24"/>
          <w:u w:val="single"/>
        </w:rPr>
        <w:t xml:space="preserve">       </w:t>
      </w:r>
      <w:r>
        <w:rPr>
          <w:sz w:val="24"/>
          <w:u w:val="single"/>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2023</w:t>
      </w:r>
      <w:r>
        <w:rPr>
          <w:rFonts w:hint="eastAsia"/>
          <w:sz w:val="24"/>
        </w:rPr>
        <w:t xml:space="preserve"> 年  </w:t>
      </w:r>
      <w:r>
        <w:rPr>
          <w:sz w:val="24"/>
        </w:rPr>
        <w:t xml:space="preserve">8   </w:t>
      </w:r>
      <w:r>
        <w:rPr>
          <w:rFonts w:hint="eastAsia"/>
          <w:sz w:val="24"/>
        </w:rPr>
        <w:t xml:space="preserve">月   </w:t>
      </w:r>
      <w:r>
        <w:rPr>
          <w:sz w:val="24"/>
        </w:rPr>
        <w:t xml:space="preserve">30  </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564"/>
        <w:gridCol w:w="424"/>
        <w:gridCol w:w="140"/>
        <w:gridCol w:w="289"/>
        <w:gridCol w:w="567"/>
        <w:gridCol w:w="283"/>
        <w:gridCol w:w="284"/>
        <w:gridCol w:w="708"/>
        <w:gridCol w:w="284"/>
        <w:gridCol w:w="850"/>
        <w:gridCol w:w="21"/>
        <w:gridCol w:w="263"/>
        <w:gridCol w:w="709"/>
        <w:gridCol w:w="425"/>
        <w:gridCol w:w="281"/>
        <w:gridCol w:w="574"/>
        <w:gridCol w:w="137"/>
        <w:gridCol w:w="146"/>
        <w:gridCol w:w="426"/>
        <w:gridCol w:w="285"/>
        <w:gridCol w:w="849"/>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7"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杨勇</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1</w:t>
            </w:r>
            <w:r>
              <w:rPr>
                <w:rFonts w:ascii="宋体" w:hAnsi="宋体" w:cs="Arial"/>
                <w:color w:val="000000"/>
                <w:kern w:val="0"/>
                <w:szCs w:val="21"/>
              </w:rPr>
              <w:t>987.09</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drawing>
                <wp:inline distT="0" distB="0" distL="0" distR="0">
                  <wp:extent cx="933450" cy="1266825"/>
                  <wp:effectExtent l="0" t="0" r="0" b="0"/>
                  <wp:docPr id="14479998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999889" name="图片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933450" cy="1266825"/>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color w:val="000000"/>
                <w:kern w:val="0"/>
                <w:szCs w:val="21"/>
              </w:rPr>
            </w:pPr>
            <w:r>
              <w:rPr>
                <w:rFonts w:hint="eastAsia" w:ascii="宋体" w:hAnsi="宋体" w:cs="Arial"/>
                <w:color w:val="000000"/>
                <w:kern w:val="0"/>
                <w:szCs w:val="21"/>
              </w:rPr>
              <w:t>作物学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7"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研究生</w:t>
            </w:r>
          </w:p>
          <w:p>
            <w:pPr>
              <w:widowControl/>
              <w:jc w:val="center"/>
              <w:rPr>
                <w:rFonts w:ascii="宋体" w:hAnsi="宋体" w:cs="Arial"/>
                <w:color w:val="000000"/>
                <w:kern w:val="0"/>
                <w:szCs w:val="21"/>
              </w:rPr>
            </w:pPr>
            <w:r>
              <w:rPr>
                <w:rFonts w:hint="eastAsia" w:ascii="宋体" w:hAnsi="宋体" w:cs="Arial"/>
                <w:color w:val="000000"/>
                <w:kern w:val="0"/>
                <w:szCs w:val="21"/>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生态学</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7"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014.08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正常晋升</w:t>
            </w:r>
          </w:p>
        </w:tc>
      </w:tr>
      <w:tr>
        <w:tblPrEx>
          <w:tblCellMar>
            <w:top w:w="0" w:type="dxa"/>
            <w:left w:w="108" w:type="dxa"/>
            <w:bottom w:w="0" w:type="dxa"/>
            <w:right w:w="108" w:type="dxa"/>
          </w:tblCellMar>
        </w:tblPrEx>
        <w:trPr>
          <w:trHeight w:val="658" w:hRule="atLeast"/>
        </w:trPr>
        <w:tc>
          <w:tcPr>
            <w:tcW w:w="2260"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实验师</w:t>
            </w:r>
          </w:p>
          <w:p>
            <w:pPr>
              <w:widowControl/>
              <w:jc w:val="center"/>
              <w:rPr>
                <w:rFonts w:ascii="宋体" w:hAnsi="宋体" w:cs="Arial"/>
                <w:color w:val="000000"/>
                <w:kern w:val="0"/>
                <w:szCs w:val="21"/>
              </w:rPr>
            </w:pPr>
            <w:r>
              <w:rPr>
                <w:rFonts w:hint="eastAsia" w:ascii="宋体" w:hAnsi="宋体" w:cs="Arial"/>
                <w:color w:val="000000"/>
                <w:kern w:val="0"/>
                <w:szCs w:val="21"/>
              </w:rPr>
              <w:t>20</w:t>
            </w:r>
            <w:r>
              <w:rPr>
                <w:rFonts w:ascii="宋体" w:hAnsi="宋体" w:cs="Arial"/>
                <w:color w:val="000000"/>
                <w:kern w:val="0"/>
                <w:szCs w:val="21"/>
              </w:rPr>
              <w:t>17</w:t>
            </w:r>
            <w:r>
              <w:rPr>
                <w:rFonts w:hint="eastAsia" w:ascii="宋体" w:hAnsi="宋体" w:cs="Arial"/>
                <w:color w:val="000000"/>
                <w:kern w:val="0"/>
                <w:szCs w:val="21"/>
              </w:rPr>
              <w:t>年</w:t>
            </w:r>
            <w:r>
              <w:rPr>
                <w:rFonts w:ascii="宋体" w:hAnsi="宋体" w:cs="Arial"/>
                <w:color w:val="000000"/>
                <w:kern w:val="0"/>
                <w:szCs w:val="21"/>
              </w:rPr>
              <w:t>12</w:t>
            </w:r>
            <w:r>
              <w:rPr>
                <w:rFonts w:hint="eastAsia" w:ascii="宋体" w:hAnsi="宋体" w:cs="Arial"/>
                <w:color w:val="000000"/>
                <w:kern w:val="0"/>
                <w:szCs w:val="21"/>
              </w:rPr>
              <w:t>月31日</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2"/>
              <w:widowControl/>
              <w:ind w:left="360" w:firstLine="0" w:firstLineChars="0"/>
              <w:rPr>
                <w:rFonts w:ascii="宋体" w:hAnsi="宋体" w:cs="Arial"/>
                <w:color w:val="000000"/>
                <w:kern w:val="0"/>
                <w:szCs w:val="21"/>
              </w:rPr>
            </w:pPr>
            <w:r>
              <w:rPr>
                <w:rFonts w:hint="eastAsia" w:ascii="宋体" w:hAnsi="宋体" w:cs="Arial"/>
                <w:color w:val="000000"/>
                <w:kern w:val="0"/>
                <w:szCs w:val="21"/>
              </w:rPr>
              <w:t>■实验技术组</w:t>
            </w:r>
            <w:bookmarkStart w:id="0" w:name="_GoBack"/>
            <w:bookmarkEnd w:id="0"/>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免试</w:t>
            </w:r>
          </w:p>
        </w:tc>
      </w:tr>
      <w:tr>
        <w:tblPrEx>
          <w:tblCellMar>
            <w:top w:w="0" w:type="dxa"/>
            <w:left w:w="108" w:type="dxa"/>
            <w:bottom w:w="0" w:type="dxa"/>
            <w:right w:w="108" w:type="dxa"/>
          </w:tblCellMar>
        </w:tblPrEx>
        <w:trPr>
          <w:trHeight w:val="529"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实验师          20</w:t>
            </w:r>
            <w:r>
              <w:rPr>
                <w:rFonts w:ascii="宋体" w:hAnsi="宋体" w:cs="Arial"/>
                <w:color w:val="000000"/>
                <w:kern w:val="0"/>
                <w:szCs w:val="21"/>
              </w:rPr>
              <w:t>20</w:t>
            </w:r>
            <w:r>
              <w:rPr>
                <w:rFonts w:hint="eastAsia" w:ascii="宋体" w:hAnsi="宋体" w:cs="Arial"/>
                <w:color w:val="000000"/>
                <w:kern w:val="0"/>
                <w:szCs w:val="21"/>
              </w:rPr>
              <w:t>年</w:t>
            </w:r>
            <w:r>
              <w:rPr>
                <w:rFonts w:ascii="宋体" w:hAnsi="宋体" w:cs="Arial"/>
                <w:color w:val="000000"/>
                <w:kern w:val="0"/>
                <w:szCs w:val="21"/>
              </w:rPr>
              <w:t>7</w:t>
            </w:r>
            <w:r>
              <w:rPr>
                <w:rFonts w:hint="eastAsia" w:ascii="宋体" w:hAnsi="宋体" w:cs="Arial"/>
                <w:color w:val="000000"/>
                <w:kern w:val="0"/>
                <w:szCs w:val="21"/>
              </w:rPr>
              <w:t>月</w:t>
            </w:r>
            <w:r>
              <w:rPr>
                <w:rFonts w:ascii="宋体" w:hAnsi="宋体" w:cs="Arial"/>
                <w:color w:val="000000"/>
                <w:kern w:val="0"/>
                <w:szCs w:val="21"/>
              </w:rPr>
              <w:t>1</w:t>
            </w:r>
            <w:r>
              <w:rPr>
                <w:rFonts w:hint="eastAsia" w:ascii="宋体" w:hAnsi="宋体" w:cs="Arial"/>
                <w:color w:val="000000"/>
                <w:kern w:val="0"/>
                <w:szCs w:val="21"/>
              </w:rPr>
              <w:t>日</w:t>
            </w:r>
          </w:p>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2年</w:t>
            </w:r>
            <w:r>
              <w:rPr>
                <w:rFonts w:ascii="宋体" w:hAnsi="宋体" w:cs="Arial"/>
                <w:color w:val="000000"/>
                <w:kern w:val="0"/>
                <w:szCs w:val="21"/>
              </w:rPr>
              <w:t>6</w:t>
            </w:r>
            <w:r>
              <w:rPr>
                <w:rFonts w:hint="eastAsia" w:ascii="宋体" w:hAnsi="宋体" w:cs="Arial"/>
                <w:color w:val="000000"/>
                <w:kern w:val="0"/>
                <w:szCs w:val="21"/>
              </w:rPr>
              <w:t>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HN</w:t>
            </w:r>
            <w:r>
              <w:rPr>
                <w:rFonts w:ascii="宋体" w:hAnsi="宋体" w:cs="Arial"/>
                <w:color w:val="000000"/>
                <w:kern w:val="0"/>
                <w:szCs w:val="21"/>
              </w:rPr>
              <w:t>2019013076</w:t>
            </w:r>
          </w:p>
        </w:tc>
      </w:tr>
      <w:tr>
        <w:tblPrEx>
          <w:tblCellMar>
            <w:top w:w="0" w:type="dxa"/>
            <w:left w:w="108" w:type="dxa"/>
            <w:bottom w:w="0" w:type="dxa"/>
            <w:right w:w="108" w:type="dxa"/>
          </w:tblCellMar>
        </w:tblPrEx>
        <w:trPr>
          <w:trHeight w:val="657" w:hRule="atLeast"/>
        </w:trPr>
        <w:tc>
          <w:tcPr>
            <w:tcW w:w="226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高级实验师</w:t>
            </w:r>
          </w:p>
        </w:tc>
      </w:tr>
      <w:tr>
        <w:tblPrEx>
          <w:tblCellMar>
            <w:top w:w="0" w:type="dxa"/>
            <w:left w:w="108" w:type="dxa"/>
            <w:bottom w:w="0" w:type="dxa"/>
            <w:right w:w="108" w:type="dxa"/>
          </w:tblCellMar>
        </w:tblPrEx>
        <w:trPr>
          <w:trHeight w:val="259" w:hRule="atLeast"/>
        </w:trPr>
        <w:tc>
          <w:tcPr>
            <w:tcW w:w="2260"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21" w:type="dxa"/>
            <w:gridSpan w:val="19"/>
            <w:tcBorders>
              <w:top w:val="single" w:color="000000" w:sz="4" w:space="0"/>
              <w:left w:val="nil"/>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w:t>
            </w:r>
            <w:r>
              <w:rPr>
                <w:rFonts w:hint="eastAsia" w:ascii="宋体" w:hAnsi="宋体" w:cs="Arial"/>
                <w:color w:val="000000"/>
                <w:kern w:val="0"/>
                <w:szCs w:val="21"/>
              </w:rPr>
              <w:t>年获得海南自贸港E类人才称号</w:t>
            </w:r>
          </w:p>
        </w:tc>
      </w:tr>
      <w:tr>
        <w:tblPrEx>
          <w:tblCellMar>
            <w:top w:w="0" w:type="dxa"/>
            <w:left w:w="108" w:type="dxa"/>
            <w:bottom w:w="0" w:type="dxa"/>
            <w:right w:w="108" w:type="dxa"/>
          </w:tblCellMar>
        </w:tblPrEx>
        <w:trPr>
          <w:trHeight w:val="631" w:hRule="atLeast"/>
        </w:trPr>
        <w:tc>
          <w:tcPr>
            <w:tcW w:w="2260"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21" w:type="dxa"/>
            <w:gridSpan w:val="19"/>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007.09-2011.06</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全日制本科</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菏泽学院</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生命科学系，生物工程</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themeColor="text1"/>
                <w:kern w:val="0"/>
                <w:szCs w:val="21"/>
              </w:rPr>
            </w:pPr>
            <w:r>
              <w:rPr>
                <w:rFonts w:hint="eastAsia" w:ascii="宋体" w:hAnsi="宋体" w:cs="Arial"/>
                <w:color w:val="000000" w:themeColor="text1"/>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牛健康</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011.09-2014.06</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全日制硕士</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农学院，农业生物技术</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周鹏</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017.09-2020.06</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全日制博士</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刘强</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022.6.10-</w:t>
            </w:r>
          </w:p>
          <w:p>
            <w:pPr>
              <w:widowControl/>
              <w:jc w:val="center"/>
              <w:rPr>
                <w:rFonts w:ascii="宋体" w:hAnsi="宋体" w:cs="Arial"/>
                <w:color w:val="000000"/>
                <w:kern w:val="0"/>
                <w:szCs w:val="21"/>
              </w:rPr>
            </w:pPr>
            <w:r>
              <w:rPr>
                <w:rFonts w:ascii="宋体" w:hAnsi="宋体" w:cs="Arial"/>
                <w:color w:val="000000"/>
                <w:kern w:val="0"/>
                <w:szCs w:val="21"/>
              </w:rPr>
              <w:t>2022.6.11</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教育部全国高校教师网络培训中心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高校教学实验室安全与管理专题研修学习培训班</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022.10.19-</w:t>
            </w:r>
          </w:p>
          <w:p>
            <w:pPr>
              <w:widowControl/>
              <w:jc w:val="center"/>
              <w:rPr>
                <w:rFonts w:ascii="宋体" w:hAnsi="宋体" w:cs="Arial"/>
                <w:color w:val="000000"/>
                <w:kern w:val="0"/>
                <w:szCs w:val="21"/>
              </w:rPr>
            </w:pPr>
            <w:r>
              <w:rPr>
                <w:rFonts w:ascii="宋体" w:hAnsi="宋体" w:cs="Arial"/>
                <w:color w:val="000000"/>
                <w:kern w:val="0"/>
                <w:szCs w:val="21"/>
              </w:rPr>
              <w:t>2022.10.20</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w:t>
            </w:r>
            <w:r>
              <w:rPr>
                <w:rFonts w:hint="eastAsia" w:ascii="宋体" w:hAnsi="宋体" w:cs="Arial"/>
                <w:color w:val="000000"/>
                <w:kern w:val="0"/>
                <w:szCs w:val="21"/>
              </w:rPr>
              <w:t>年第一期大型科学仪器开发共享工作培训会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022.11.15</w:t>
            </w: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2022年第二期大型科学仪器开发共享工作培训会</w:t>
            </w: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853"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126"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5"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2"/>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0" w:type="dxa"/>
            <w:gridSpan w:val="4"/>
            <w:vAlign w:val="center"/>
          </w:tcPr>
          <w:p>
            <w:pPr>
              <w:jc w:val="center"/>
              <w:rPr>
                <w:sz w:val="24"/>
              </w:rPr>
            </w:pPr>
            <w:r>
              <w:rPr>
                <w:rFonts w:hint="eastAsia"/>
                <w:sz w:val="24"/>
              </w:rPr>
              <w:t>起  止  时  间</w:t>
            </w:r>
          </w:p>
        </w:tc>
        <w:tc>
          <w:tcPr>
            <w:tcW w:w="3265" w:type="dxa"/>
            <w:gridSpan w:val="7"/>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6"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0" w:type="dxa"/>
            <w:gridSpan w:val="4"/>
            <w:vAlign w:val="center"/>
          </w:tcPr>
          <w:p>
            <w:pPr>
              <w:jc w:val="center"/>
              <w:rPr>
                <w:szCs w:val="21"/>
              </w:rPr>
            </w:pPr>
            <w:r>
              <w:rPr>
                <w:szCs w:val="21"/>
              </w:rPr>
              <w:t>2014</w:t>
            </w:r>
            <w:r>
              <w:rPr>
                <w:rFonts w:hint="eastAsia"/>
                <w:szCs w:val="21"/>
              </w:rPr>
              <w:t>年</w:t>
            </w:r>
            <w:r>
              <w:rPr>
                <w:szCs w:val="21"/>
              </w:rPr>
              <w:t>08</w:t>
            </w:r>
            <w:r>
              <w:rPr>
                <w:rFonts w:hint="eastAsia"/>
                <w:szCs w:val="21"/>
              </w:rPr>
              <w:t>月—今</w:t>
            </w:r>
          </w:p>
        </w:tc>
        <w:tc>
          <w:tcPr>
            <w:tcW w:w="3265" w:type="dxa"/>
            <w:gridSpan w:val="7"/>
            <w:vAlign w:val="center"/>
          </w:tcPr>
          <w:p>
            <w:pPr>
              <w:jc w:val="center"/>
              <w:rPr>
                <w:sz w:val="18"/>
              </w:rPr>
            </w:pPr>
            <w:r>
              <w:rPr>
                <w:rFonts w:hint="eastAsia"/>
                <w:sz w:val="18"/>
              </w:rPr>
              <w:t>海南师范大学</w:t>
            </w:r>
          </w:p>
        </w:tc>
        <w:tc>
          <w:tcPr>
            <w:tcW w:w="2410" w:type="dxa"/>
            <w:gridSpan w:val="7"/>
            <w:vAlign w:val="center"/>
          </w:tcPr>
          <w:p>
            <w:pPr>
              <w:jc w:val="center"/>
              <w:rPr>
                <w:sz w:val="18"/>
              </w:rPr>
            </w:pPr>
            <w:r>
              <w:rPr>
                <w:rFonts w:hint="eastAsia"/>
                <w:sz w:val="18"/>
              </w:rPr>
              <w:t>实验课准备及实验室管理</w:t>
            </w:r>
          </w:p>
        </w:tc>
        <w:tc>
          <w:tcPr>
            <w:tcW w:w="1706" w:type="dxa"/>
            <w:gridSpan w:val="4"/>
            <w:vAlign w:val="center"/>
          </w:tcPr>
          <w:p>
            <w:pPr>
              <w:jc w:val="center"/>
              <w:rPr>
                <w:sz w:val="18"/>
              </w:rPr>
            </w:pPr>
            <w:r>
              <w:rPr>
                <w:rFonts w:hint="eastAsia"/>
                <w:sz w:val="18"/>
              </w:rPr>
              <w:t>实验员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0" w:type="dxa"/>
            <w:gridSpan w:val="4"/>
            <w:vAlign w:val="center"/>
          </w:tcPr>
          <w:p>
            <w:pPr>
              <w:jc w:val="center"/>
              <w:rPr>
                <w:szCs w:val="21"/>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0" w:type="dxa"/>
            <w:gridSpan w:val="4"/>
            <w:vAlign w:val="center"/>
          </w:tcPr>
          <w:p>
            <w:pPr>
              <w:jc w:val="center"/>
              <w:rPr>
                <w:szCs w:val="21"/>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0" w:type="dxa"/>
            <w:gridSpan w:val="4"/>
            <w:vAlign w:val="center"/>
          </w:tcPr>
          <w:p>
            <w:pPr>
              <w:jc w:val="center"/>
              <w:rPr>
                <w:szCs w:val="21"/>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0" w:type="dxa"/>
            <w:gridSpan w:val="4"/>
            <w:vAlign w:val="center"/>
          </w:tcPr>
          <w:p>
            <w:pPr>
              <w:jc w:val="center"/>
              <w:rPr>
                <w:sz w:val="18"/>
              </w:rPr>
            </w:pPr>
            <w:r>
              <w:rPr>
                <w:rFonts w:hint="eastAsia"/>
                <w:szCs w:val="21"/>
              </w:rPr>
              <w:t xml:space="preserve"> 年   月—   年   月</w:t>
            </w:r>
          </w:p>
        </w:tc>
        <w:tc>
          <w:tcPr>
            <w:tcW w:w="3265" w:type="dxa"/>
            <w:gridSpan w:val="7"/>
          </w:tcPr>
          <w:p>
            <w:pPr>
              <w:rPr>
                <w:sz w:val="18"/>
              </w:rPr>
            </w:pPr>
          </w:p>
        </w:tc>
        <w:tc>
          <w:tcPr>
            <w:tcW w:w="2410" w:type="dxa"/>
            <w:gridSpan w:val="7"/>
          </w:tcPr>
          <w:p>
            <w:pPr>
              <w:rPr>
                <w:sz w:val="18"/>
              </w:rPr>
            </w:pPr>
          </w:p>
        </w:tc>
        <w:tc>
          <w:tcPr>
            <w:tcW w:w="1706" w:type="dxa"/>
            <w:gridSpan w:val="4"/>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杨勇同志热爱祖国，拥护党的领导，认真贯彻和执行党的方针政策。思想积极上进，积极参加政治理论学习，提高自身的政治觉悟。遵守国家法律和法规，校纪校规，具有较高的政治觉悟，思想和行动始终保持高度一致。</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重视师德师风，恪守职业道德，教书育人，为人师表。任职以来，工作积极主动，认真负责；爱岗敬业，服从领导工作安排，团队协作精神强，任劳任怨。主动关心学生的思想、学习和生活情况，引导学生培养积极的人生态度，深受学生喜欢。</w:t>
            </w: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rPr>
              <w:t>综上所述，该同志的思想品德、师德师风良好，受到全院师生的一致好评。</w:t>
            </w: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018</w:t>
            </w:r>
            <w:r>
              <w:rPr>
                <w:rFonts w:hint="eastAsia" w:ascii="宋体" w:hAnsi="宋体" w:cs="Arial"/>
                <w:color w:val="000000"/>
                <w:kern w:val="0"/>
                <w:szCs w:val="21"/>
              </w:rPr>
              <w:t>年，合格；2</w:t>
            </w:r>
            <w:r>
              <w:rPr>
                <w:rFonts w:ascii="宋体" w:hAnsi="宋体" w:cs="Arial"/>
                <w:color w:val="000000"/>
                <w:kern w:val="0"/>
                <w:szCs w:val="21"/>
              </w:rPr>
              <w:t>019</w:t>
            </w:r>
            <w:r>
              <w:rPr>
                <w:rFonts w:hint="eastAsia" w:ascii="宋体" w:hAnsi="宋体" w:cs="Arial"/>
                <w:color w:val="000000"/>
                <w:kern w:val="0"/>
                <w:szCs w:val="21"/>
              </w:rPr>
              <w:t>年，合格；2</w:t>
            </w:r>
            <w:r>
              <w:rPr>
                <w:rFonts w:ascii="宋体" w:hAnsi="宋体" w:cs="Arial"/>
                <w:color w:val="000000"/>
                <w:kern w:val="0"/>
                <w:szCs w:val="21"/>
              </w:rPr>
              <w:t>020</w:t>
            </w:r>
            <w:r>
              <w:rPr>
                <w:rFonts w:hint="eastAsia" w:ascii="宋体" w:hAnsi="宋体" w:cs="Arial"/>
                <w:color w:val="000000"/>
                <w:kern w:val="0"/>
                <w:szCs w:val="21"/>
              </w:rPr>
              <w:t>年，合格；</w:t>
            </w:r>
          </w:p>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021</w:t>
            </w:r>
            <w:r>
              <w:rPr>
                <w:rFonts w:hint="eastAsia" w:ascii="宋体" w:hAnsi="宋体" w:cs="Arial"/>
                <w:color w:val="000000"/>
                <w:kern w:val="0"/>
                <w:szCs w:val="21"/>
              </w:rPr>
              <w:t>年，合格；2</w:t>
            </w:r>
            <w:r>
              <w:rPr>
                <w:rFonts w:ascii="宋体" w:hAnsi="宋体" w:cs="Arial"/>
                <w:color w:val="000000"/>
                <w:kern w:val="0"/>
                <w:szCs w:val="21"/>
              </w:rPr>
              <w:t>022</w:t>
            </w:r>
            <w:r>
              <w:rPr>
                <w:rFonts w:hint="eastAsia" w:ascii="宋体" w:hAnsi="宋体" w:cs="Arial"/>
                <w:color w:val="000000"/>
                <w:kern w:val="0"/>
                <w:szCs w:val="21"/>
              </w:rPr>
              <w:t>年，合格</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pPr>
            <w:r>
              <w:rPr>
                <w:rFonts w:hint="eastAsia"/>
              </w:rPr>
              <w:t>业务条件（1）情况</w:t>
            </w:r>
          </w:p>
        </w:tc>
        <w:tc>
          <w:tcPr>
            <w:tcW w:w="4571" w:type="pct"/>
            <w:tcBorders>
              <w:top w:val="single" w:color="auto" w:sz="4" w:space="0"/>
            </w:tcBorders>
          </w:tcPr>
          <w:p>
            <w:pPr>
              <w:spacing w:line="360" w:lineRule="auto"/>
              <w:rPr>
                <w:color w:val="000000" w:themeColor="text1"/>
              </w:rPr>
            </w:pPr>
            <w:r>
              <w:rPr>
                <w:rFonts w:hint="eastAsia"/>
                <w:color w:val="000000" w:themeColor="text1"/>
              </w:rPr>
              <w:t>（1）本人具有本专业系统而坚实的理论基础，熟悉本专业国内外的实验技术现状和发展趋势，具有组织和指导大型实验技术工作的能力。自任实验师以来，不断学习，完成了博士学位进修，并先后参与了教育部全国高校教师网络培训中心举办的高校教学实验室安全与管理专题研修学习培训班，海南省科技创新发展服务中心举办的大型科学仪器开发共享工作培训会，取得了培训合格证书。</w:t>
            </w:r>
          </w:p>
          <w:p>
            <w:pPr>
              <w:spacing w:line="360" w:lineRule="auto"/>
              <w:rPr>
                <w:color w:val="000000" w:themeColor="text1"/>
              </w:rPr>
            </w:pPr>
            <w:r>
              <w:rPr>
                <w:rFonts w:hint="eastAsia"/>
                <w:color w:val="000000" w:themeColor="text1"/>
              </w:rPr>
              <w:t>（</w:t>
            </w:r>
            <w:r>
              <w:rPr>
                <w:color w:val="000000" w:themeColor="text1"/>
              </w:rPr>
              <w:t>2</w:t>
            </w:r>
            <w:r>
              <w:rPr>
                <w:rFonts w:hint="eastAsia"/>
                <w:color w:val="000000" w:themeColor="text1"/>
              </w:rPr>
              <w:t>）注重对学生能力的培养，在培养学生实验技能方面成绩显著。指导学生获得大学生创新实验训练项目</w:t>
            </w:r>
            <w:r>
              <w:rPr>
                <w:color w:val="000000" w:themeColor="text1"/>
              </w:rPr>
              <w:t>3</w:t>
            </w:r>
            <w:r>
              <w:rPr>
                <w:rFonts w:hint="eastAsia"/>
                <w:color w:val="000000" w:themeColor="text1"/>
              </w:rPr>
              <w:t>项（省级1项、校级</w:t>
            </w:r>
            <w:r>
              <w:rPr>
                <w:color w:val="000000" w:themeColor="text1"/>
              </w:rPr>
              <w:t>2</w:t>
            </w:r>
            <w:r>
              <w:rPr>
                <w:rFonts w:hint="eastAsia"/>
                <w:color w:val="000000" w:themeColor="text1"/>
              </w:rPr>
              <w:t>项）、利用自己摸索的实验技术，指导本科生获得校级创业项目1项，并以优秀的成绩通过验收。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429" w:type="pct"/>
            <w:vAlign w:val="center"/>
          </w:tcPr>
          <w:p>
            <w:pPr>
              <w:jc w:val="center"/>
            </w:pPr>
            <w:r>
              <w:rPr>
                <w:rFonts w:hint="eastAsia"/>
              </w:rPr>
              <w:t>业务条件（2）情况</w:t>
            </w:r>
          </w:p>
        </w:tc>
        <w:tc>
          <w:tcPr>
            <w:tcW w:w="4571" w:type="pct"/>
          </w:tcPr>
          <w:p>
            <w:pPr>
              <w:spacing w:line="360" w:lineRule="auto"/>
            </w:pPr>
            <w:r>
              <w:rPr>
                <w:rFonts w:hint="eastAsia"/>
              </w:rPr>
              <w:t>（1）在本学科实验设备和实验技术的改进、新设备和新技术的使用、实验室建设及管理、中初级实验技术人员培养等方面均做出了突出贡献。利用自己的专业特长，开发大肠杆菌表达和纯化GFP蛋白技术用于生物化学实验技术教学，对生物化学实验教研小组成员徐志霞（实验师）的培养做出了积极的指导，相关研究成果发表在中文核心期刊《实验室研究与探索》</w:t>
            </w:r>
            <w:r>
              <w:rPr>
                <w:rFonts w:hint="eastAsia"/>
                <w:color w:val="000000" w:themeColor="text1"/>
              </w:rPr>
              <w:t>上。积极参加教学研究活动，结合课程特点，参与省级精品在线开放课程《园林植物识别》建设。</w:t>
            </w:r>
          </w:p>
          <w:p>
            <w:pPr>
              <w:spacing w:line="360" w:lineRule="auto"/>
            </w:pPr>
            <w:r>
              <w:rPr>
                <w:rFonts w:hint="eastAsia"/>
              </w:rPr>
              <w:t>（</w:t>
            </w:r>
            <w:r>
              <w:t>2</w:t>
            </w:r>
            <w:r>
              <w:rPr>
                <w:rFonts w:hint="eastAsia"/>
              </w:rPr>
              <w:t>）协助学院实验中心领导，全面梳理和修订了《生命科学学院实验室安全管理制度》、《生命科学学院实验室安全事故应急预案（试行）》、《生命科学学院实验室危险及易制毒化学品安全管理办法》等实验室管理制度。</w:t>
            </w:r>
          </w:p>
          <w:p>
            <w:pPr>
              <w:spacing w:line="360" w:lineRule="auto"/>
              <w:rPr>
                <w:color w:val="FF000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429" w:type="pct"/>
            <w:tcBorders>
              <w:bottom w:val="single" w:color="auto" w:sz="4" w:space="0"/>
            </w:tcBorders>
            <w:vAlign w:val="center"/>
          </w:tcPr>
          <w:p>
            <w:pPr>
              <w:jc w:val="center"/>
            </w:pPr>
            <w:r>
              <w:rPr>
                <w:rFonts w:hint="eastAsia"/>
              </w:rPr>
              <w:t>业务条件（3）情况（如有教学明细填入下表）</w:t>
            </w:r>
          </w:p>
        </w:tc>
        <w:tc>
          <w:tcPr>
            <w:tcW w:w="4571" w:type="pct"/>
            <w:tcBorders>
              <w:bottom w:val="single" w:color="auto" w:sz="4" w:space="0"/>
            </w:tcBorders>
          </w:tcPr>
          <w:p>
            <w:pPr>
              <w:spacing w:line="360" w:lineRule="auto"/>
              <w:rPr>
                <w:color w:val="000000" w:themeColor="text1"/>
              </w:rPr>
            </w:pPr>
            <w:r>
              <w:rPr>
                <w:rFonts w:hint="eastAsia"/>
                <w:color w:val="000000" w:themeColor="text1"/>
              </w:rPr>
              <w:t>（1）每年负责5门实验课程的准备工作，包括生物技术专业的《基因工程》、《酶工程》、《发酵工程》和《细胞工程》和生态学专业的《分子生态学》实验课，实验之前准备好所需的各种实验材料和仪器，维护好实验仪器的正常使用，做到心中有数，与任课教师及时沟通并协助其完成正常教学任务。</w:t>
            </w:r>
          </w:p>
          <w:p>
            <w:pPr>
              <w:spacing w:line="360" w:lineRule="auto"/>
              <w:rPr>
                <w:color w:val="000000" w:themeColor="text1"/>
              </w:rPr>
            </w:pPr>
            <w:r>
              <w:rPr>
                <w:rFonts w:hint="eastAsia"/>
                <w:color w:val="000000" w:themeColor="text1"/>
              </w:rPr>
              <w:t>（2）负责学院热带岛屿生态学教育部重点实验室公共仪器室大型仪器设备的管理工作，包括实验场地的安全与卫生，仪器设备的维护与保养和仪器使用指导等工作。</w:t>
            </w:r>
          </w:p>
          <w:p>
            <w:pPr>
              <w:spacing w:line="360" w:lineRule="auto"/>
              <w:rPr>
                <w:color w:val="000000" w:themeColor="text1"/>
              </w:rPr>
            </w:pPr>
            <w:r>
              <w:rPr>
                <w:rFonts w:hint="eastAsia"/>
                <w:color w:val="000000" w:themeColor="text1"/>
              </w:rPr>
              <w:t>（3）负责学院危化品、易制毒药品、易制爆药品、剧毒药品仓库的管理工作，负责上述药品保管、出入库、过期药品的报废工作。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1" w:hRule="atLeast"/>
        </w:trPr>
        <w:tc>
          <w:tcPr>
            <w:tcW w:w="429" w:type="pct"/>
            <w:tcBorders>
              <w:top w:val="single" w:color="auto" w:sz="4" w:space="0"/>
              <w:bottom w:val="single" w:color="auto" w:sz="4" w:space="0"/>
            </w:tcBorders>
            <w:vAlign w:val="center"/>
          </w:tcPr>
          <w:p>
            <w:pPr>
              <w:jc w:val="center"/>
            </w:pPr>
            <w:r>
              <w:rPr>
                <w:rFonts w:hint="eastAsia"/>
              </w:rPr>
              <w:t>业务条件（4）情况</w:t>
            </w:r>
          </w:p>
        </w:tc>
        <w:tc>
          <w:tcPr>
            <w:tcW w:w="4571" w:type="pct"/>
            <w:tcBorders>
              <w:top w:val="single" w:color="auto" w:sz="4" w:space="0"/>
              <w:bottom w:val="single" w:color="auto" w:sz="4" w:space="0"/>
            </w:tcBorders>
          </w:tcPr>
          <w:p>
            <w:pPr>
              <w:spacing w:line="360" w:lineRule="auto"/>
              <w:ind w:firstLine="420" w:firstLineChars="200"/>
              <w:rPr>
                <w:rFonts w:ascii="宋体" w:hAnsi="宋体" w:eastAsia="宋体"/>
                <w:color w:val="000000" w:themeColor="text1"/>
              </w:rPr>
            </w:pPr>
            <w:r>
              <w:rPr>
                <w:rFonts w:hint="eastAsia" w:ascii="宋体" w:hAnsi="宋体" w:eastAsia="宋体" w:cs="仿宋"/>
                <w:color w:val="000000" w:themeColor="text1"/>
                <w:kern w:val="1"/>
                <w:szCs w:val="21"/>
              </w:rPr>
              <w:t>本人自任职以来，坚持学习专业相关知识，努力提高实验室服务和管理水平。充分做好分管实验室的安全与卫生、仪器设备的维护与保养，确保学院师生各项科研、教学实验工作的顺利开展，实验教学效果、实验教学准备工作及大型仪器设备的样品测试工作获得了学院师生的一致好评。立足岗位职责，岗位服务意识强。服务质量好，综合评价高，申报高级实验师专业技术职务获得单位民意测评同意票超过2/3。</w:t>
            </w:r>
          </w:p>
        </w:tc>
      </w:tr>
    </w:tbl>
    <w:p/>
    <w:tbl>
      <w:tblPr>
        <w:tblStyle w:val="5"/>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pacing w:val="-24"/>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838" w:hRule="atLeast"/>
        </w:trPr>
        <w:tc>
          <w:tcPr>
            <w:tcW w:w="1560" w:type="dxa"/>
            <w:vAlign w:val="center"/>
          </w:tcPr>
          <w:p>
            <w:pPr>
              <w:jc w:val="center"/>
            </w:pPr>
            <w:r>
              <w:rPr>
                <w:rFonts w:hint="eastAsia"/>
              </w:rPr>
              <w:t>学院审核业务条件情况</w:t>
            </w:r>
          </w:p>
        </w:tc>
        <w:tc>
          <w:tcPr>
            <w:tcW w:w="8221" w:type="dxa"/>
          </w:tcPr>
          <w:p/>
          <w:p/>
          <w:p/>
          <w:p/>
          <w:p/>
          <w:p/>
          <w:p/>
          <w:p/>
          <w:p/>
          <w:p/>
          <w:p>
            <w:r>
              <w:rPr>
                <w:rFonts w:hint="eastAsia"/>
              </w:rPr>
              <w:t>学院负责人签名（盖章）：                    日期：</w:t>
            </w:r>
          </w:p>
        </w:tc>
      </w:tr>
    </w:tbl>
    <w:p/>
    <w:p>
      <w:pPr>
        <w:widowControl/>
        <w:jc w:val="left"/>
      </w:pPr>
      <w:r>
        <w:br w:type="page"/>
      </w:r>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主持海南省自然科学基金1项（3</w:t>
            </w:r>
            <w:r>
              <w:rPr>
                <w:rFonts w:ascii="宋体" w:hAnsi="宋体" w:cs="Arial"/>
                <w:color w:val="000000"/>
                <w:kern w:val="0"/>
                <w:szCs w:val="21"/>
              </w:rPr>
              <w:t>19</w:t>
            </w:r>
            <w:r>
              <w:rPr>
                <w:rFonts w:hint="eastAsia" w:ascii="宋体" w:hAnsi="宋体" w:cs="Arial"/>
                <w:color w:val="000000"/>
                <w:kern w:val="0"/>
                <w:szCs w:val="21"/>
              </w:rPr>
              <w:t>QN</w:t>
            </w:r>
            <w:r>
              <w:rPr>
                <w:rFonts w:ascii="宋体" w:hAnsi="宋体" w:cs="Arial"/>
                <w:color w:val="000000"/>
                <w:kern w:val="0"/>
                <w:szCs w:val="21"/>
              </w:rPr>
              <w:t>213</w:t>
            </w:r>
            <w:r>
              <w:rPr>
                <w:rFonts w:hint="eastAsia" w:ascii="宋体" w:hAnsi="宋体" w:cs="Arial"/>
                <w:color w:val="000000"/>
                <w:kern w:val="0"/>
                <w:szCs w:val="21"/>
              </w:rPr>
              <w:t>）；主持海南省重点研发计划项目1项（ZDYF</w:t>
            </w:r>
            <w:r>
              <w:rPr>
                <w:rFonts w:ascii="宋体" w:hAnsi="宋体" w:cs="Arial"/>
                <w:color w:val="000000"/>
                <w:kern w:val="0"/>
                <w:szCs w:val="21"/>
              </w:rPr>
              <w:t>2021</w:t>
            </w:r>
            <w:r>
              <w:rPr>
                <w:rFonts w:hint="eastAsia" w:ascii="宋体" w:hAnsi="宋体" w:cs="Arial"/>
                <w:color w:val="000000"/>
                <w:kern w:val="0"/>
                <w:szCs w:val="21"/>
              </w:rPr>
              <w:t>SHFZ</w:t>
            </w:r>
            <w:r>
              <w:rPr>
                <w:rFonts w:ascii="宋体" w:hAnsi="宋体" w:cs="Arial"/>
                <w:color w:val="000000"/>
                <w:kern w:val="0"/>
                <w:szCs w:val="21"/>
              </w:rPr>
              <w:t>259</w:t>
            </w:r>
            <w:r>
              <w:rPr>
                <w:rFonts w:hint="eastAsia" w:ascii="宋体" w:hAnsi="宋体" w:cs="Arial"/>
                <w:color w:val="000000"/>
                <w:kern w:val="0"/>
                <w:szCs w:val="21"/>
              </w:rPr>
              <w:t>）</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rPr>
              <w:t>以第一作者（或通信作者）发表论文</w:t>
            </w:r>
            <w:r>
              <w:rPr>
                <w:rFonts w:ascii="宋体" w:hAnsi="宋体" w:cs="Arial"/>
                <w:color w:val="000000"/>
                <w:kern w:val="0"/>
                <w:szCs w:val="21"/>
              </w:rPr>
              <w:t>6</w:t>
            </w:r>
            <w:r>
              <w:rPr>
                <w:rFonts w:hint="eastAsia" w:ascii="宋体" w:hAnsi="宋体" w:cs="Arial"/>
                <w:color w:val="000000"/>
                <w:kern w:val="0"/>
                <w:szCs w:val="21"/>
              </w:rPr>
              <w:t>篇，其中A类0篇，B类</w:t>
            </w:r>
            <w:r>
              <w:rPr>
                <w:rFonts w:ascii="宋体" w:hAnsi="宋体" w:cs="Arial"/>
                <w:color w:val="000000"/>
                <w:kern w:val="0"/>
                <w:szCs w:val="21"/>
              </w:rPr>
              <w:t>6</w:t>
            </w:r>
            <w:r>
              <w:rPr>
                <w:rFonts w:hint="eastAsia" w:ascii="宋体" w:hAnsi="宋体" w:cs="Arial"/>
                <w:color w:val="000000"/>
                <w:kern w:val="0"/>
                <w:szCs w:val="21"/>
              </w:rPr>
              <w:t>篇，C类</w:t>
            </w:r>
            <w:r>
              <w:rPr>
                <w:rFonts w:ascii="宋体" w:hAnsi="宋体" w:cs="Arial"/>
                <w:color w:val="000000"/>
                <w:kern w:val="0"/>
                <w:szCs w:val="21"/>
              </w:rPr>
              <w:t>0</w:t>
            </w:r>
            <w:r>
              <w:rPr>
                <w:rFonts w:hint="eastAsia" w:ascii="宋体" w:hAnsi="宋体" w:cs="Arial"/>
                <w:color w:val="000000"/>
                <w:kern w:val="0"/>
                <w:szCs w:val="21"/>
              </w:rPr>
              <w:t>篇，D类</w:t>
            </w:r>
            <w:r>
              <w:rPr>
                <w:rFonts w:ascii="宋体" w:hAnsi="宋体" w:cs="Arial"/>
                <w:color w:val="000000"/>
                <w:kern w:val="0"/>
                <w:szCs w:val="21"/>
              </w:rPr>
              <w:t>0</w:t>
            </w:r>
            <w:r>
              <w:rPr>
                <w:rFonts w:hint="eastAsia" w:ascii="宋体" w:hAnsi="宋体" w:cs="Arial"/>
                <w:color w:val="000000"/>
                <w:kern w:val="0"/>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出版学术专著1部，本人撰写</w:t>
            </w:r>
            <w:r>
              <w:rPr>
                <w:rFonts w:ascii="宋体" w:hAnsi="宋体" w:cs="Arial"/>
                <w:color w:val="000000"/>
                <w:kern w:val="0"/>
                <w:szCs w:val="21"/>
              </w:rPr>
              <w:t>2</w:t>
            </w:r>
            <w:r>
              <w:rPr>
                <w:rFonts w:hint="eastAsia" w:ascii="宋体" w:hAnsi="宋体" w:cs="Arial"/>
                <w:color w:val="000000"/>
                <w:kern w:val="0"/>
                <w:szCs w:val="21"/>
              </w:rPr>
              <w:t>万字</w:t>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r>
              <w:rPr>
                <w:rFonts w:hint="eastAsia" w:ascii="宋体" w:hAnsi="宋体" w:cs="Arial"/>
                <w:color w:val="000000"/>
                <w:kern w:val="0"/>
                <w:szCs w:val="21"/>
              </w:rPr>
              <w:t>社会服务效益（横向项目）经费</w:t>
            </w:r>
            <w:r>
              <w:rPr>
                <w:rFonts w:ascii="宋体" w:hAnsi="宋体" w:cs="Arial"/>
                <w:color w:val="000000"/>
                <w:kern w:val="0"/>
                <w:szCs w:val="21"/>
              </w:rPr>
              <w:t>8.08</w:t>
            </w:r>
            <w:r>
              <w:rPr>
                <w:rFonts w:hint="eastAsia" w:ascii="宋体" w:hAnsi="宋体" w:cs="Arial"/>
                <w:color w:val="000000"/>
                <w:kern w:val="0"/>
                <w:szCs w:val="21"/>
              </w:rPr>
              <w:t>万元</w:t>
            </w:r>
          </w:p>
          <w:p>
            <w:pPr>
              <w:widowControl/>
              <w:jc w:val="left"/>
              <w:rPr>
                <w:rFonts w:ascii="宋体" w:hAnsi="宋体" w:cs="Arial"/>
                <w:color w:val="000000"/>
                <w:kern w:val="0"/>
                <w:szCs w:val="21"/>
              </w:rPr>
            </w:pPr>
            <w:r>
              <w:rPr>
                <w:rFonts w:hint="eastAsia" w:ascii="宋体" w:hAnsi="宋体" w:cs="Arial"/>
                <w:color w:val="000000"/>
                <w:kern w:val="0"/>
                <w:szCs w:val="21"/>
              </w:rPr>
              <w:t>④以第一完成人获授权国家发明专利</w:t>
            </w:r>
            <w:r>
              <w:rPr>
                <w:rFonts w:ascii="宋体" w:hAnsi="宋体" w:cs="Arial"/>
                <w:color w:val="000000"/>
                <w:kern w:val="0"/>
                <w:szCs w:val="21"/>
              </w:rPr>
              <w:t>3</w:t>
            </w:r>
            <w:r>
              <w:rPr>
                <w:rFonts w:hint="eastAsia" w:ascii="宋体" w:hAnsi="宋体" w:cs="Arial"/>
                <w:color w:val="000000"/>
                <w:kern w:val="0"/>
                <w:szCs w:val="21"/>
              </w:rPr>
              <w:t>项（ZL</w:t>
            </w:r>
            <w:r>
              <w:rPr>
                <w:rFonts w:ascii="宋体" w:hAnsi="宋体" w:cs="Arial"/>
                <w:color w:val="000000"/>
                <w:kern w:val="0"/>
                <w:szCs w:val="21"/>
              </w:rPr>
              <w:t>201910466501.1</w:t>
            </w:r>
            <w:r>
              <w:rPr>
                <w:rFonts w:hint="eastAsia" w:ascii="宋体" w:hAnsi="宋体" w:cs="Arial"/>
                <w:color w:val="000000"/>
                <w:kern w:val="0"/>
                <w:szCs w:val="21"/>
              </w:rPr>
              <w:t>；ZL</w:t>
            </w:r>
            <w:r>
              <w:rPr>
                <w:rFonts w:ascii="宋体" w:hAnsi="宋体" w:cs="Arial"/>
                <w:color w:val="000000"/>
                <w:kern w:val="0"/>
                <w:szCs w:val="21"/>
              </w:rPr>
              <w:t>201910466488.</w:t>
            </w:r>
            <w:r>
              <w:rPr>
                <w:rFonts w:hint="eastAsia" w:ascii="宋体" w:hAnsi="宋体" w:cs="Arial"/>
                <w:color w:val="000000"/>
                <w:kern w:val="0"/>
                <w:szCs w:val="21"/>
              </w:rPr>
              <w:t>X；ZL</w:t>
            </w:r>
            <w:r>
              <w:rPr>
                <w:rFonts w:ascii="宋体" w:hAnsi="宋体" w:cs="Arial"/>
                <w:color w:val="000000"/>
                <w:kern w:val="0"/>
                <w:szCs w:val="21"/>
              </w:rPr>
              <w:t>201910467506.6</w:t>
            </w:r>
            <w:r>
              <w:rPr>
                <w:rFonts w:hint="eastAsia" w:ascii="宋体" w:hAnsi="宋体" w:cs="Arial"/>
                <w:color w:val="000000"/>
                <w:kern w:val="0"/>
                <w:szCs w:val="21"/>
              </w:rPr>
              <w:t>）</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r>
              <w:rPr>
                <w:rFonts w:hint="eastAsia"/>
              </w:rPr>
              <w:t>1</w:t>
            </w:r>
          </w:p>
        </w:tc>
        <w:tc>
          <w:tcPr>
            <w:tcW w:w="3584" w:type="dxa"/>
            <w:gridSpan w:val="3"/>
            <w:vAlign w:val="center"/>
          </w:tcPr>
          <w:p>
            <w:pPr>
              <w:jc w:val="center"/>
            </w:pPr>
            <w:r>
              <w:rPr>
                <w:rFonts w:hint="eastAsia"/>
              </w:rPr>
              <w:t>濒危红树植物拟海桑生殖障碍及繁育技术研究</w:t>
            </w:r>
          </w:p>
        </w:tc>
        <w:tc>
          <w:tcPr>
            <w:tcW w:w="955" w:type="dxa"/>
            <w:vAlign w:val="center"/>
          </w:tcPr>
          <w:p>
            <w:pPr>
              <w:jc w:val="center"/>
            </w:pPr>
            <w:r>
              <w:t>319QN213</w:t>
            </w:r>
          </w:p>
        </w:tc>
        <w:tc>
          <w:tcPr>
            <w:tcW w:w="1584" w:type="dxa"/>
            <w:vAlign w:val="center"/>
          </w:tcPr>
          <w:p>
            <w:pPr>
              <w:jc w:val="center"/>
            </w:pPr>
            <w:r>
              <w:rPr>
                <w:rFonts w:hint="eastAsia"/>
              </w:rPr>
              <w:t>海南省科技厅</w:t>
            </w:r>
          </w:p>
        </w:tc>
        <w:tc>
          <w:tcPr>
            <w:tcW w:w="722" w:type="dxa"/>
            <w:vAlign w:val="center"/>
          </w:tcPr>
          <w:p>
            <w:pPr>
              <w:jc w:val="center"/>
            </w:pPr>
            <w:r>
              <w:rPr>
                <w:rFonts w:hint="eastAsia"/>
              </w:rPr>
              <w:t>2</w:t>
            </w:r>
            <w:r>
              <w:t>019.03</w:t>
            </w:r>
          </w:p>
        </w:tc>
        <w:tc>
          <w:tcPr>
            <w:tcW w:w="1064" w:type="dxa"/>
            <w:vAlign w:val="center"/>
          </w:tcPr>
          <w:p>
            <w:pPr>
              <w:jc w:val="center"/>
            </w:pPr>
            <w:r>
              <w:rPr>
                <w:rFonts w:hint="eastAsia"/>
              </w:rPr>
              <w:t>5</w:t>
            </w:r>
          </w:p>
        </w:tc>
        <w:tc>
          <w:tcPr>
            <w:tcW w:w="1296" w:type="dxa"/>
            <w:vAlign w:val="center"/>
          </w:tcPr>
          <w:p>
            <w:pPr>
              <w:jc w:val="center"/>
            </w:pPr>
            <w:r>
              <w:rPr>
                <w:rFonts w:hint="eastAsia"/>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r>
              <w:rPr>
                <w:rFonts w:hint="eastAsia"/>
              </w:rPr>
              <w:t>2</w:t>
            </w:r>
          </w:p>
        </w:tc>
        <w:tc>
          <w:tcPr>
            <w:tcW w:w="3584" w:type="dxa"/>
            <w:gridSpan w:val="3"/>
            <w:vAlign w:val="center"/>
          </w:tcPr>
          <w:p>
            <w:pPr>
              <w:jc w:val="center"/>
            </w:pPr>
            <w:r>
              <w:rPr>
                <w:rFonts w:hint="eastAsia"/>
              </w:rPr>
              <w:t>濒危红树植物海滨猫尾木的引种回归研究</w:t>
            </w:r>
          </w:p>
        </w:tc>
        <w:tc>
          <w:tcPr>
            <w:tcW w:w="955" w:type="dxa"/>
            <w:vAlign w:val="center"/>
          </w:tcPr>
          <w:p>
            <w:pPr>
              <w:jc w:val="center"/>
            </w:pPr>
            <w:r>
              <w:t>ZDYF2021SHFZ259</w:t>
            </w:r>
          </w:p>
        </w:tc>
        <w:tc>
          <w:tcPr>
            <w:tcW w:w="1584" w:type="dxa"/>
            <w:vAlign w:val="center"/>
          </w:tcPr>
          <w:p>
            <w:pPr>
              <w:jc w:val="center"/>
            </w:pPr>
            <w:r>
              <w:rPr>
                <w:rFonts w:hint="eastAsia"/>
              </w:rPr>
              <w:t>海南省科技厅</w:t>
            </w:r>
          </w:p>
        </w:tc>
        <w:tc>
          <w:tcPr>
            <w:tcW w:w="722" w:type="dxa"/>
            <w:vAlign w:val="center"/>
          </w:tcPr>
          <w:p>
            <w:pPr>
              <w:jc w:val="center"/>
            </w:pPr>
            <w:r>
              <w:rPr>
                <w:rFonts w:hint="eastAsia"/>
              </w:rPr>
              <w:t>2</w:t>
            </w:r>
            <w:r>
              <w:t>021.12</w:t>
            </w:r>
          </w:p>
        </w:tc>
        <w:tc>
          <w:tcPr>
            <w:tcW w:w="1064" w:type="dxa"/>
            <w:vAlign w:val="center"/>
          </w:tcPr>
          <w:p>
            <w:pPr>
              <w:jc w:val="center"/>
            </w:pPr>
            <w:r>
              <w:rPr>
                <w:rFonts w:hint="eastAsia"/>
              </w:rPr>
              <w:t>5</w:t>
            </w:r>
            <w:r>
              <w:t>0</w:t>
            </w:r>
          </w:p>
        </w:tc>
        <w:tc>
          <w:tcPr>
            <w:tcW w:w="1296" w:type="dxa"/>
            <w:vAlign w:val="center"/>
          </w:tcPr>
          <w:p>
            <w:pPr>
              <w:jc w:val="center"/>
            </w:pPr>
          </w:p>
          <w:p>
            <w:pPr>
              <w:jc w:val="center"/>
            </w:pPr>
            <w:r>
              <w:rPr>
                <w:rFonts w:hint="eastAsia"/>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576" w:type="dxa"/>
            <w:vAlign w:val="center"/>
          </w:tcPr>
          <w:p/>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以第一作者（或通信作者）发表论文总数：</w:t>
            </w:r>
            <w:r>
              <w:rPr>
                <w:rFonts w:ascii="仿宋_GB2312" w:eastAsia="仿宋_GB2312"/>
                <w:szCs w:val="21"/>
              </w:rPr>
              <w:t>6</w:t>
            </w:r>
            <w:r>
              <w:rPr>
                <w:rFonts w:hint="eastAsia" w:ascii="仿宋_GB2312" w:eastAsia="仿宋_GB2312"/>
                <w:szCs w:val="21"/>
              </w:rPr>
              <w:t>篇，其中：A类</w:t>
            </w:r>
            <w:r>
              <w:rPr>
                <w:rFonts w:ascii="仿宋_GB2312" w:eastAsia="仿宋_GB2312"/>
                <w:szCs w:val="21"/>
              </w:rPr>
              <w:t>0</w:t>
            </w:r>
            <w:r>
              <w:rPr>
                <w:rFonts w:hint="eastAsia" w:ascii="仿宋_GB2312" w:eastAsia="仿宋_GB2312"/>
                <w:szCs w:val="21"/>
              </w:rPr>
              <w:t>篇，B类</w:t>
            </w:r>
            <w:r>
              <w:rPr>
                <w:rFonts w:ascii="仿宋_GB2312" w:eastAsia="仿宋_GB2312"/>
                <w:szCs w:val="21"/>
              </w:rPr>
              <w:t>6</w:t>
            </w:r>
            <w:r>
              <w:rPr>
                <w:rFonts w:hint="eastAsia" w:ascii="仿宋_GB2312" w:eastAsia="仿宋_GB2312"/>
                <w:szCs w:val="21"/>
              </w:rPr>
              <w:t>篇，C类</w:t>
            </w:r>
            <w:r>
              <w:rPr>
                <w:rFonts w:ascii="仿宋_GB2312" w:eastAsia="仿宋_GB2312"/>
                <w:szCs w:val="21"/>
              </w:rPr>
              <w:t>0</w:t>
            </w:r>
            <w:r>
              <w:rPr>
                <w:rFonts w:hint="eastAsia" w:ascii="仿宋_GB2312" w:eastAsia="仿宋_GB2312"/>
                <w:szCs w:val="21"/>
              </w:rPr>
              <w:t>篇，D类</w:t>
            </w:r>
            <w:r>
              <w:rPr>
                <w:rFonts w:ascii="仿宋_GB2312" w:eastAsia="仿宋_GB2312"/>
                <w:szCs w:val="21"/>
              </w:rPr>
              <w:t>0</w:t>
            </w:r>
            <w:r>
              <w:rPr>
                <w:rFonts w:hint="eastAsia" w:ascii="仿宋_GB2312" w:eastAsia="仿宋_GB2312"/>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pPr>
            <w:r>
              <w:rPr>
                <w:rFonts w:hint="eastAsia"/>
              </w:rPr>
              <w:t>1</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Complete chloroplast genome sequence of the mangrove species</w:t>
            </w:r>
            <w:r>
              <w:rPr>
                <w:rFonts w:ascii="Times New Roman" w:hAnsi="Times New Roman" w:cs="Times New Roman"/>
                <w:i/>
                <w:iCs/>
                <w:sz w:val="18"/>
                <w:szCs w:val="20"/>
              </w:rPr>
              <w:t xml:space="preserve"> Kandelia obovata</w:t>
            </w:r>
            <w:r>
              <w:rPr>
                <w:rFonts w:ascii="Times New Roman" w:hAnsi="Times New Roman" w:cs="Times New Roman"/>
                <w:sz w:val="18"/>
                <w:szCs w:val="20"/>
              </w:rPr>
              <w:t xml:space="preserve"> and comparative analyses with related species</w:t>
            </w:r>
          </w:p>
        </w:tc>
        <w:tc>
          <w:tcPr>
            <w:tcW w:w="3260" w:type="dxa"/>
            <w:vAlign w:val="center"/>
          </w:tcPr>
          <w:p>
            <w:pPr>
              <w:widowControl/>
              <w:jc w:val="center"/>
            </w:pPr>
            <w:r>
              <w:t>PeerJ</w:t>
            </w:r>
            <w:r>
              <w:rPr>
                <w:rFonts w:hint="eastAsia"/>
              </w:rPr>
              <w:t>,</w:t>
            </w:r>
            <w:r>
              <w:t xml:space="preserve"> 2019.9.20, 7: e7713</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vAlign w:val="center"/>
          </w:tcPr>
          <w:p>
            <w:pPr>
              <w:jc w:val="center"/>
            </w:pPr>
            <w:r>
              <w:rPr>
                <w:rFonts w:hint="eastAsia"/>
              </w:rPr>
              <w:t>2</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 xml:space="preserve">The complete chloroplast genome of </w:t>
            </w:r>
            <w:r>
              <w:rPr>
                <w:rFonts w:ascii="Times New Roman" w:hAnsi="Times New Roman" w:cs="Times New Roman"/>
                <w:i/>
                <w:iCs/>
                <w:sz w:val="18"/>
                <w:szCs w:val="20"/>
              </w:rPr>
              <w:t>Horsfieldia hainanensis</w:t>
            </w:r>
            <w:r>
              <w:rPr>
                <w:rFonts w:ascii="Times New Roman" w:hAnsi="Times New Roman" w:cs="Times New Roman"/>
                <w:sz w:val="18"/>
                <w:szCs w:val="20"/>
              </w:rPr>
              <w:t>, an Endangered species with extremely small populations</w:t>
            </w:r>
          </w:p>
        </w:tc>
        <w:tc>
          <w:tcPr>
            <w:tcW w:w="3260" w:type="dxa"/>
            <w:vAlign w:val="center"/>
          </w:tcPr>
          <w:p>
            <w:pPr>
              <w:widowControl/>
              <w:jc w:val="center"/>
            </w:pPr>
            <w:r>
              <w:t>Mitochondrial DNA Part B, 2019.7.22, 4:2, 2654-2655</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pPr>
            <w:r>
              <w:rPr>
                <w:rFonts w:hint="eastAsia"/>
              </w:rPr>
              <w:t>3</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 xml:space="preserve">The complete chloroplast genome sequence of a medicinal mangrove tree </w:t>
            </w:r>
            <w:r>
              <w:rPr>
                <w:rFonts w:ascii="Times New Roman" w:hAnsi="Times New Roman" w:cs="Times New Roman"/>
                <w:i/>
                <w:iCs/>
                <w:sz w:val="18"/>
                <w:szCs w:val="20"/>
              </w:rPr>
              <w:t>Ceriops tagal</w:t>
            </w:r>
            <w:r>
              <w:rPr>
                <w:rFonts w:ascii="Times New Roman" w:hAnsi="Times New Roman" w:cs="Times New Roman"/>
                <w:sz w:val="18"/>
                <w:szCs w:val="20"/>
              </w:rPr>
              <w:t xml:space="preserve"> and its phylogenetic analysis</w:t>
            </w:r>
          </w:p>
        </w:tc>
        <w:tc>
          <w:tcPr>
            <w:tcW w:w="3260" w:type="dxa"/>
            <w:vAlign w:val="center"/>
          </w:tcPr>
          <w:p>
            <w:pPr>
              <w:widowControl/>
              <w:jc w:val="center"/>
            </w:pPr>
            <w:r>
              <w:t>Mitochondrial DNA Part B, 2019.1.9, 4:1, 267-268</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pPr>
            <w:r>
              <w:rPr>
                <w:rFonts w:hint="eastAsia"/>
              </w:rPr>
              <w:t>4</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 xml:space="preserve">The complete chloroplast genome sequence of an endangered species, </w:t>
            </w:r>
            <w:r>
              <w:rPr>
                <w:rFonts w:ascii="Times New Roman" w:hAnsi="Times New Roman" w:cs="Times New Roman"/>
                <w:i/>
                <w:iCs/>
                <w:sz w:val="18"/>
                <w:szCs w:val="20"/>
              </w:rPr>
              <w:t>Oncodostigma hainanense</w:t>
            </w:r>
          </w:p>
        </w:tc>
        <w:tc>
          <w:tcPr>
            <w:tcW w:w="3260" w:type="dxa"/>
            <w:vAlign w:val="center"/>
          </w:tcPr>
          <w:p>
            <w:pPr>
              <w:widowControl/>
              <w:jc w:val="center"/>
            </w:pPr>
            <w:r>
              <w:t>Mitochondrial DNA Part B, 2019.2.17, 4:1, 721-722</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vAlign w:val="center"/>
          </w:tcPr>
          <w:p>
            <w:pPr>
              <w:jc w:val="center"/>
            </w:pPr>
            <w:r>
              <w:rPr>
                <w:rFonts w:hint="eastAsia"/>
              </w:rPr>
              <w:t>5</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 xml:space="preserve">Complete chloroplast genome of an endangered plant, </w:t>
            </w:r>
            <w:r>
              <w:rPr>
                <w:rFonts w:ascii="Times New Roman" w:hAnsi="Times New Roman" w:cs="Times New Roman"/>
                <w:i/>
                <w:iCs/>
                <w:sz w:val="18"/>
                <w:szCs w:val="20"/>
              </w:rPr>
              <w:t>Alseodaphne Hainanensis</w:t>
            </w:r>
          </w:p>
        </w:tc>
        <w:tc>
          <w:tcPr>
            <w:tcW w:w="3260" w:type="dxa"/>
            <w:vAlign w:val="center"/>
          </w:tcPr>
          <w:p>
            <w:pPr>
              <w:widowControl/>
              <w:jc w:val="center"/>
            </w:pPr>
            <w:r>
              <w:t>Mitochondrial DNA Part B, 2019. 7. 10, 4:2, 2169-2170</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vAlign w:val="center"/>
          </w:tcPr>
          <w:p>
            <w:pPr>
              <w:jc w:val="center"/>
            </w:pPr>
            <w:r>
              <w:rPr>
                <w:rFonts w:hint="eastAsia"/>
              </w:rPr>
              <w:t>6</w:t>
            </w:r>
          </w:p>
        </w:tc>
        <w:tc>
          <w:tcPr>
            <w:tcW w:w="3171" w:type="dxa"/>
            <w:tcBorders>
              <w:left w:val="single" w:color="auto" w:sz="4" w:space="0"/>
            </w:tcBorders>
            <w:vAlign w:val="center"/>
          </w:tcPr>
          <w:p>
            <w:pPr>
              <w:jc w:val="center"/>
              <w:rPr>
                <w:rFonts w:ascii="Times New Roman" w:hAnsi="Times New Roman" w:cs="Times New Roman"/>
                <w:sz w:val="18"/>
                <w:szCs w:val="20"/>
              </w:rPr>
            </w:pPr>
            <w:r>
              <w:rPr>
                <w:rFonts w:ascii="Times New Roman" w:hAnsi="Times New Roman" w:cs="Times New Roman"/>
                <w:sz w:val="18"/>
                <w:szCs w:val="20"/>
              </w:rPr>
              <w:t xml:space="preserve">Transcriptome analysis of </w:t>
            </w:r>
            <w:r>
              <w:rPr>
                <w:rFonts w:ascii="Times New Roman" w:hAnsi="Times New Roman" w:cs="Times New Roman"/>
                <w:i/>
                <w:iCs/>
                <w:sz w:val="18"/>
                <w:szCs w:val="20"/>
              </w:rPr>
              <w:t>Sonneratia caseolaris</w:t>
            </w:r>
            <w:r>
              <w:rPr>
                <w:rFonts w:ascii="Times New Roman" w:hAnsi="Times New Roman" w:cs="Times New Roman"/>
                <w:sz w:val="18"/>
                <w:szCs w:val="20"/>
              </w:rPr>
              <w:t xml:space="preserve"> seedlings under chilling stress</w:t>
            </w:r>
          </w:p>
        </w:tc>
        <w:tc>
          <w:tcPr>
            <w:tcW w:w="3260" w:type="dxa"/>
            <w:vAlign w:val="center"/>
          </w:tcPr>
          <w:p>
            <w:pPr>
              <w:widowControl/>
              <w:jc w:val="center"/>
            </w:pPr>
            <w:r>
              <w:t>PeerJ, 2021.6.3, 9, e11506</w:t>
            </w:r>
          </w:p>
        </w:tc>
        <w:tc>
          <w:tcPr>
            <w:tcW w:w="709" w:type="dxa"/>
            <w:vAlign w:val="center"/>
          </w:tcPr>
          <w:p>
            <w:pPr>
              <w:widowControl/>
              <w:jc w:val="center"/>
            </w:pPr>
            <w:r>
              <w:rPr>
                <w:rFonts w:hint="eastAsia"/>
              </w:rPr>
              <w:t>B类</w:t>
            </w:r>
          </w:p>
        </w:tc>
        <w:tc>
          <w:tcPr>
            <w:tcW w:w="850" w:type="dxa"/>
            <w:vAlign w:val="center"/>
          </w:tcPr>
          <w:p>
            <w:pPr>
              <w:widowControl/>
              <w:jc w:val="center"/>
            </w:pPr>
          </w:p>
        </w:tc>
        <w:tc>
          <w:tcPr>
            <w:tcW w:w="1276" w:type="dxa"/>
            <w:tcBorders>
              <w:right w:val="single" w:color="auto" w:sz="4" w:space="0"/>
            </w:tcBorders>
            <w:vAlign w:val="center"/>
          </w:tcPr>
          <w:p>
            <w:pPr>
              <w:widowControl/>
              <w:jc w:val="center"/>
            </w:pPr>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pPr>
              <w:jc w:val="center"/>
            </w:pPr>
          </w:p>
        </w:tc>
        <w:tc>
          <w:tcPr>
            <w:tcW w:w="3171" w:type="dxa"/>
            <w:tcBorders>
              <w:left w:val="single" w:color="auto" w:sz="4" w:space="0"/>
            </w:tcBorders>
          </w:tcPr>
          <w:p>
            <w:pPr>
              <w:jc w:val="center"/>
            </w:pPr>
          </w:p>
        </w:tc>
        <w:tc>
          <w:tcPr>
            <w:tcW w:w="3260" w:type="dxa"/>
          </w:tcPr>
          <w:p>
            <w:pPr>
              <w:widowControl/>
              <w:jc w:val="center"/>
            </w:pPr>
          </w:p>
        </w:tc>
        <w:tc>
          <w:tcPr>
            <w:tcW w:w="709" w:type="dxa"/>
          </w:tcPr>
          <w:p>
            <w:pPr>
              <w:widowControl/>
              <w:jc w:val="center"/>
            </w:pPr>
          </w:p>
        </w:tc>
        <w:tc>
          <w:tcPr>
            <w:tcW w:w="850" w:type="dxa"/>
          </w:tcPr>
          <w:p>
            <w:pPr>
              <w:widowControl/>
              <w:jc w:val="center"/>
            </w:pPr>
          </w:p>
        </w:tc>
        <w:tc>
          <w:tcPr>
            <w:tcW w:w="1276" w:type="dxa"/>
            <w:tcBorders>
              <w:right w:val="single" w:color="auto" w:sz="4" w:space="0"/>
            </w:tcBorders>
          </w:tcPr>
          <w:p>
            <w:pPr>
              <w:widowControl/>
              <w:jc w:val="center"/>
            </w:pPr>
          </w:p>
        </w:tc>
      </w:tr>
    </w:tbl>
    <w:p>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r>
              <w:rPr>
                <w:rFonts w:hint="eastAsia"/>
              </w:rPr>
              <w:t>1</w:t>
            </w:r>
          </w:p>
          <w:p/>
        </w:tc>
        <w:tc>
          <w:tcPr>
            <w:tcW w:w="2277" w:type="dxa"/>
            <w:tcBorders>
              <w:left w:val="single" w:color="auto" w:sz="4" w:space="0"/>
            </w:tcBorders>
            <w:vAlign w:val="center"/>
          </w:tcPr>
          <w:p>
            <w:r>
              <w:rPr>
                <w:rFonts w:hint="eastAsia"/>
              </w:rPr>
              <w:t>雷州半岛红树林湿地·植物篇</w:t>
            </w:r>
          </w:p>
        </w:tc>
        <w:tc>
          <w:tcPr>
            <w:tcW w:w="655" w:type="dxa"/>
            <w:vAlign w:val="center"/>
          </w:tcPr>
          <w:p>
            <w:r>
              <w:rPr>
                <w:rFonts w:hint="eastAsia"/>
              </w:rPr>
              <w:t>A</w:t>
            </w:r>
          </w:p>
        </w:tc>
        <w:tc>
          <w:tcPr>
            <w:tcW w:w="1058" w:type="dxa"/>
            <w:vAlign w:val="center"/>
          </w:tcPr>
          <w:p>
            <w:r>
              <w:rPr>
                <w:rFonts w:hint="eastAsia"/>
              </w:rPr>
              <w:t>合著/第4</w:t>
            </w:r>
          </w:p>
        </w:tc>
        <w:tc>
          <w:tcPr>
            <w:tcW w:w="1276" w:type="dxa"/>
            <w:vAlign w:val="center"/>
          </w:tcPr>
          <w:p>
            <w:r>
              <w:rPr>
                <w:rFonts w:hint="eastAsia"/>
              </w:rPr>
              <w:t>海洋出版社</w:t>
            </w:r>
          </w:p>
          <w:p>
            <w:r>
              <w:rPr>
                <w:rFonts w:hint="eastAsia"/>
              </w:rPr>
              <w:t>2</w:t>
            </w:r>
            <w:r>
              <w:t>020.11</w:t>
            </w:r>
          </w:p>
        </w:tc>
        <w:tc>
          <w:tcPr>
            <w:tcW w:w="851" w:type="dxa"/>
            <w:tcBorders>
              <w:right w:val="single" w:color="auto" w:sz="4" w:space="0"/>
            </w:tcBorders>
            <w:vAlign w:val="center"/>
          </w:tcPr>
          <w:p>
            <w:r>
              <w:t>2020204363</w:t>
            </w:r>
          </w:p>
        </w:tc>
        <w:tc>
          <w:tcPr>
            <w:tcW w:w="1134" w:type="dxa"/>
            <w:tcBorders>
              <w:left w:val="single" w:color="auto" w:sz="4" w:space="0"/>
            </w:tcBorders>
            <w:vAlign w:val="center"/>
          </w:tcPr>
          <w:p>
            <w:r>
              <w:rPr>
                <w:rFonts w:hint="eastAsia"/>
              </w:rPr>
              <w:t>1</w:t>
            </w:r>
            <w:r>
              <w:t>1</w:t>
            </w:r>
          </w:p>
        </w:tc>
        <w:tc>
          <w:tcPr>
            <w:tcW w:w="992" w:type="dxa"/>
            <w:vAlign w:val="center"/>
          </w:tcPr>
          <w:p>
            <w:r>
              <w:t>2</w:t>
            </w:r>
          </w:p>
        </w:tc>
        <w:tc>
          <w:tcPr>
            <w:tcW w:w="850" w:type="dxa"/>
            <w:vAlign w:val="center"/>
          </w:tcPr>
          <w:p>
            <w:r>
              <w:rPr>
                <w:rFonts w:hint="eastAsia"/>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 w:hRule="atLeast"/>
        </w:trPr>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pPr>
            <w:r>
              <w:rPr>
                <w:rFonts w:hint="eastAsia"/>
              </w:rPr>
              <w:t>1</w:t>
            </w:r>
          </w:p>
        </w:tc>
        <w:tc>
          <w:tcPr>
            <w:tcW w:w="3523" w:type="dxa"/>
            <w:vAlign w:val="center"/>
          </w:tcPr>
          <w:p>
            <w:pPr>
              <w:jc w:val="center"/>
            </w:pPr>
            <w:r>
              <w:rPr>
                <w:rFonts w:hint="eastAsia"/>
              </w:rPr>
              <w:t>BGCI极小种群红树林植物红榄李的拯救保护研究</w:t>
            </w:r>
          </w:p>
        </w:tc>
        <w:tc>
          <w:tcPr>
            <w:tcW w:w="1639" w:type="dxa"/>
            <w:vAlign w:val="center"/>
          </w:tcPr>
          <w:p>
            <w:pPr>
              <w:jc w:val="center"/>
            </w:pPr>
            <w:r>
              <w:rPr>
                <w:rFonts w:hint="eastAsia"/>
              </w:rPr>
              <w:t>三亚市林业科学研究院</w:t>
            </w:r>
          </w:p>
        </w:tc>
        <w:tc>
          <w:tcPr>
            <w:tcW w:w="1063" w:type="dxa"/>
            <w:vAlign w:val="center"/>
          </w:tcPr>
          <w:p>
            <w:pPr>
              <w:jc w:val="center"/>
            </w:pPr>
            <w:r>
              <w:rPr>
                <w:rFonts w:hint="eastAsia"/>
              </w:rPr>
              <w:t>2</w:t>
            </w:r>
            <w:r>
              <w:t>020.1-2022.12</w:t>
            </w:r>
          </w:p>
        </w:tc>
        <w:tc>
          <w:tcPr>
            <w:tcW w:w="928" w:type="dxa"/>
            <w:vAlign w:val="center"/>
          </w:tcPr>
          <w:p>
            <w:pPr>
              <w:jc w:val="center"/>
            </w:pPr>
            <w:r>
              <w:rPr>
                <w:rFonts w:hint="eastAsia"/>
              </w:rPr>
              <w:t>是</w:t>
            </w:r>
          </w:p>
        </w:tc>
        <w:tc>
          <w:tcPr>
            <w:tcW w:w="1091" w:type="dxa"/>
            <w:vAlign w:val="center"/>
          </w:tcPr>
          <w:p>
            <w:pPr>
              <w:jc w:val="center"/>
            </w:pPr>
            <w:r>
              <w:rPr>
                <w:rFonts w:hint="eastAsia"/>
              </w:rPr>
              <w:t>8</w:t>
            </w:r>
            <w:r>
              <w:t>.08</w:t>
            </w:r>
          </w:p>
        </w:tc>
        <w:tc>
          <w:tcPr>
            <w:tcW w:w="970"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tbl>
      <w:tblPr>
        <w:tblStyle w:val="13"/>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1803"/>
        <w:gridCol w:w="718"/>
        <w:gridCol w:w="1275"/>
        <w:gridCol w:w="1200"/>
        <w:gridCol w:w="1155"/>
        <w:gridCol w:w="945"/>
        <w:gridCol w:w="1154"/>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9"/>
            <w:vAlign w:val="center"/>
          </w:tcPr>
          <w:p>
            <w:pPr>
              <w:widowControl/>
              <w:jc w:val="center"/>
              <w:rPr>
                <w:kern w:val="0"/>
                <w:sz w:val="20"/>
                <w:szCs w:val="20"/>
              </w:rPr>
            </w:pPr>
            <w:r>
              <w:rPr>
                <w:rFonts w:hint="eastAsia"/>
                <w:b/>
                <w:bCs/>
                <w:kern w:val="0"/>
                <w:sz w:val="20"/>
                <w:szCs w:val="20"/>
              </w:rPr>
              <w:t>任选条件之</w:t>
            </w:r>
            <w:r>
              <w:rPr>
                <w:rFonts w:ascii="宋体" w:hAnsi="宋体" w:cs="Arial"/>
                <w:color w:val="000000"/>
                <w:kern w:val="0"/>
                <w:sz w:val="20"/>
                <w:szCs w:val="21"/>
              </w:rPr>
              <w:fldChar w:fldCharType="begin"/>
            </w:r>
            <w:r>
              <w:rPr>
                <w:rFonts w:ascii="宋体" w:hAnsi="宋体" w:cs="Arial"/>
                <w:color w:val="000000"/>
                <w:kern w:val="0"/>
                <w:sz w:val="20"/>
                <w:szCs w:val="21"/>
              </w:rPr>
              <w:instrText xml:space="preserve"> </w:instrText>
            </w:r>
            <w:r>
              <w:rPr>
                <w:rFonts w:hint="eastAsia" w:ascii="宋体" w:hAnsi="宋体" w:cs="Arial"/>
                <w:color w:val="000000"/>
                <w:kern w:val="0"/>
                <w:sz w:val="20"/>
                <w:szCs w:val="21"/>
              </w:rPr>
              <w:instrText xml:space="preserve">= 4 \* GB3</w:instrText>
            </w:r>
            <w:r>
              <w:rPr>
                <w:rFonts w:ascii="宋体" w:hAnsi="宋体" w:cs="Arial"/>
                <w:color w:val="000000"/>
                <w:kern w:val="0"/>
                <w:sz w:val="20"/>
                <w:szCs w:val="21"/>
              </w:rPr>
              <w:instrText xml:space="preserve"> </w:instrText>
            </w:r>
            <w:r>
              <w:rPr>
                <w:rFonts w:ascii="宋体" w:hAnsi="宋体" w:cs="Arial"/>
                <w:color w:val="000000"/>
                <w:kern w:val="0"/>
                <w:sz w:val="20"/>
                <w:szCs w:val="21"/>
              </w:rPr>
              <w:fldChar w:fldCharType="separate"/>
            </w:r>
            <w:r>
              <w:rPr>
                <w:rFonts w:hint="eastAsia" w:ascii="宋体" w:hAnsi="宋体" w:cs="Arial"/>
                <w:color w:val="000000"/>
                <w:kern w:val="0"/>
                <w:sz w:val="20"/>
                <w:szCs w:val="21"/>
              </w:rPr>
              <w:t>④</w:t>
            </w:r>
            <w:r>
              <w:rPr>
                <w:rFonts w:ascii="宋体" w:hAnsi="宋体" w:cs="Arial"/>
                <w:color w:val="000000"/>
                <w:kern w:val="0"/>
                <w:sz w:val="20"/>
                <w:szCs w:val="21"/>
              </w:rPr>
              <w:fldChar w:fldCharType="end"/>
            </w:r>
            <w:r>
              <w:rPr>
                <w:rFonts w:hint="eastAsia"/>
                <w:b/>
                <w:bCs/>
                <w:kern w:val="0"/>
                <w:sz w:val="20"/>
                <w:szCs w:val="20"/>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kern w:val="0"/>
                <w:sz w:val="20"/>
                <w:szCs w:val="20"/>
              </w:rPr>
            </w:pPr>
            <w:r>
              <w:rPr>
                <w:rFonts w:hint="eastAsia"/>
                <w:kern w:val="0"/>
                <w:sz w:val="20"/>
                <w:szCs w:val="20"/>
              </w:rPr>
              <w:t>序号</w:t>
            </w:r>
          </w:p>
        </w:tc>
        <w:tc>
          <w:tcPr>
            <w:tcW w:w="1803" w:type="dxa"/>
            <w:tcBorders>
              <w:left w:val="single" w:color="auto" w:sz="4" w:space="0"/>
            </w:tcBorders>
            <w:vAlign w:val="center"/>
          </w:tcPr>
          <w:p>
            <w:pPr>
              <w:jc w:val="center"/>
              <w:rPr>
                <w:rFonts w:ascii="宋体" w:hAnsi="宋体" w:cs="Arial"/>
                <w:color w:val="000000"/>
                <w:kern w:val="0"/>
                <w:sz w:val="20"/>
                <w:szCs w:val="21"/>
              </w:rPr>
            </w:pPr>
            <w:r>
              <w:rPr>
                <w:rFonts w:hint="eastAsia" w:ascii="宋体" w:hAnsi="宋体" w:cs="Arial"/>
                <w:color w:val="000000"/>
                <w:kern w:val="0"/>
                <w:sz w:val="20"/>
                <w:szCs w:val="21"/>
              </w:rPr>
              <w:t>授权专利名称</w:t>
            </w:r>
          </w:p>
        </w:tc>
        <w:tc>
          <w:tcPr>
            <w:tcW w:w="718" w:type="dxa"/>
            <w:tcBorders>
              <w:right w:val="single" w:color="auto" w:sz="4" w:space="0"/>
            </w:tcBorders>
            <w:vAlign w:val="center"/>
          </w:tcPr>
          <w:p>
            <w:pPr>
              <w:widowControl/>
              <w:jc w:val="center"/>
              <w:rPr>
                <w:rFonts w:eastAsia="宋体"/>
                <w:kern w:val="0"/>
                <w:sz w:val="20"/>
                <w:szCs w:val="20"/>
              </w:rPr>
            </w:pPr>
            <w:r>
              <w:rPr>
                <w:rFonts w:hint="eastAsia"/>
                <w:kern w:val="0"/>
                <w:sz w:val="20"/>
                <w:szCs w:val="20"/>
              </w:rPr>
              <w:t>等级</w:t>
            </w:r>
          </w:p>
        </w:tc>
        <w:tc>
          <w:tcPr>
            <w:tcW w:w="1275" w:type="dxa"/>
            <w:tcBorders>
              <w:left w:val="single" w:color="auto" w:sz="4" w:space="0"/>
              <w:right w:val="single" w:color="auto" w:sz="4" w:space="0"/>
            </w:tcBorders>
            <w:vAlign w:val="center"/>
          </w:tcPr>
          <w:p>
            <w:pPr>
              <w:widowControl/>
              <w:jc w:val="center"/>
              <w:rPr>
                <w:kern w:val="0"/>
                <w:sz w:val="20"/>
                <w:szCs w:val="20"/>
              </w:rPr>
            </w:pPr>
            <w:r>
              <w:rPr>
                <w:rFonts w:hint="eastAsia" w:ascii="宋体" w:hAnsi="宋体" w:cs="Arial"/>
                <w:color w:val="000000"/>
                <w:kern w:val="0"/>
                <w:sz w:val="20"/>
                <w:szCs w:val="21"/>
              </w:rPr>
              <w:t>专利授权号</w:t>
            </w:r>
          </w:p>
        </w:tc>
        <w:tc>
          <w:tcPr>
            <w:tcW w:w="1200" w:type="dxa"/>
            <w:tcBorders>
              <w:left w:val="single" w:color="auto" w:sz="4" w:space="0"/>
            </w:tcBorders>
            <w:vAlign w:val="center"/>
          </w:tcPr>
          <w:p>
            <w:pPr>
              <w:widowControl/>
              <w:jc w:val="center"/>
              <w:rPr>
                <w:rFonts w:eastAsia="宋体"/>
                <w:kern w:val="0"/>
                <w:sz w:val="20"/>
                <w:szCs w:val="20"/>
              </w:rPr>
            </w:pPr>
            <w:r>
              <w:rPr>
                <w:rFonts w:hint="eastAsia"/>
                <w:kern w:val="0"/>
                <w:sz w:val="20"/>
                <w:szCs w:val="20"/>
              </w:rPr>
              <w:t>专利类型</w:t>
            </w:r>
          </w:p>
        </w:tc>
        <w:tc>
          <w:tcPr>
            <w:tcW w:w="1155" w:type="dxa"/>
            <w:vAlign w:val="center"/>
          </w:tcPr>
          <w:p>
            <w:pPr>
              <w:widowControl/>
              <w:jc w:val="center"/>
              <w:rPr>
                <w:kern w:val="0"/>
                <w:sz w:val="20"/>
                <w:szCs w:val="20"/>
              </w:rPr>
            </w:pPr>
            <w:r>
              <w:rPr>
                <w:rFonts w:hint="eastAsia"/>
                <w:kern w:val="0"/>
                <w:sz w:val="20"/>
                <w:szCs w:val="20"/>
              </w:rPr>
              <w:t>授权时间</w:t>
            </w:r>
          </w:p>
        </w:tc>
        <w:tc>
          <w:tcPr>
            <w:tcW w:w="945" w:type="dxa"/>
            <w:tcBorders>
              <w:right w:val="single" w:color="auto" w:sz="4" w:space="0"/>
            </w:tcBorders>
            <w:vAlign w:val="center"/>
          </w:tcPr>
          <w:p>
            <w:pPr>
              <w:widowControl/>
              <w:jc w:val="center"/>
              <w:rPr>
                <w:rFonts w:eastAsia="宋体"/>
                <w:kern w:val="0"/>
                <w:sz w:val="20"/>
                <w:szCs w:val="20"/>
              </w:rPr>
            </w:pPr>
            <w:r>
              <w:rPr>
                <w:rFonts w:hint="eastAsia" w:eastAsia="宋体"/>
                <w:kern w:val="0"/>
                <w:sz w:val="20"/>
                <w:szCs w:val="20"/>
              </w:rPr>
              <w:t>第几发明人</w:t>
            </w:r>
          </w:p>
        </w:tc>
        <w:tc>
          <w:tcPr>
            <w:tcW w:w="1154" w:type="dxa"/>
            <w:tcBorders>
              <w:left w:val="single" w:color="auto" w:sz="4" w:space="0"/>
            </w:tcBorders>
            <w:vAlign w:val="center"/>
          </w:tcPr>
          <w:p>
            <w:pPr>
              <w:widowControl/>
              <w:jc w:val="center"/>
              <w:rPr>
                <w:kern w:val="0"/>
                <w:sz w:val="20"/>
                <w:szCs w:val="20"/>
              </w:rPr>
            </w:pPr>
            <w:r>
              <w:rPr>
                <w:rFonts w:hint="eastAsia"/>
                <w:kern w:val="0"/>
                <w:sz w:val="20"/>
                <w:szCs w:val="20"/>
              </w:rPr>
              <w:t>转让或实施情况</w:t>
            </w:r>
          </w:p>
        </w:tc>
        <w:tc>
          <w:tcPr>
            <w:tcW w:w="1066" w:type="dxa"/>
            <w:tcBorders>
              <w:right w:val="single" w:color="auto" w:sz="4" w:space="0"/>
            </w:tcBorders>
            <w:vAlign w:val="center"/>
          </w:tcPr>
          <w:p>
            <w:pPr>
              <w:widowControl/>
              <w:jc w:val="center"/>
              <w:rPr>
                <w:rFonts w:eastAsia="宋体"/>
                <w:kern w:val="0"/>
                <w:sz w:val="20"/>
                <w:szCs w:val="20"/>
              </w:rPr>
            </w:pPr>
            <w:r>
              <w:rPr>
                <w:rFonts w:hint="eastAsia" w:ascii="宋体" w:hAnsi="宋体" w:cs="Arial"/>
                <w:color w:val="000000"/>
                <w:kern w:val="0"/>
                <w:sz w:val="2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kern w:val="0"/>
                <w:sz w:val="20"/>
                <w:szCs w:val="20"/>
              </w:rPr>
            </w:pPr>
            <w:r>
              <w:rPr>
                <w:kern w:val="0"/>
                <w:sz w:val="20"/>
                <w:szCs w:val="20"/>
              </w:rPr>
              <w:t>1</w:t>
            </w:r>
          </w:p>
        </w:tc>
        <w:tc>
          <w:tcPr>
            <w:tcW w:w="1803" w:type="dxa"/>
            <w:tcBorders>
              <w:left w:val="single" w:color="auto" w:sz="4" w:space="0"/>
            </w:tcBorders>
            <w:vAlign w:val="center"/>
          </w:tcPr>
          <w:p>
            <w:pPr>
              <w:jc w:val="center"/>
              <w:rPr>
                <w:kern w:val="0"/>
                <w:sz w:val="20"/>
                <w:szCs w:val="20"/>
              </w:rPr>
            </w:pPr>
            <w:r>
              <w:rPr>
                <w:rFonts w:hint="eastAsia"/>
                <w:kern w:val="0"/>
                <w:sz w:val="20"/>
                <w:szCs w:val="20"/>
              </w:rPr>
              <w:t>一种水椰种子收集及育苗方法</w:t>
            </w:r>
          </w:p>
        </w:tc>
        <w:tc>
          <w:tcPr>
            <w:tcW w:w="718" w:type="dxa"/>
            <w:tcBorders>
              <w:right w:val="single" w:color="auto" w:sz="4" w:space="0"/>
            </w:tcBorders>
            <w:vAlign w:val="center"/>
          </w:tcPr>
          <w:p>
            <w:pPr>
              <w:widowControl/>
              <w:jc w:val="center"/>
              <w:rPr>
                <w:kern w:val="0"/>
                <w:sz w:val="20"/>
                <w:szCs w:val="20"/>
              </w:rPr>
            </w:pPr>
            <w:r>
              <w:rPr>
                <w:rFonts w:hint="eastAsia"/>
                <w:kern w:val="0"/>
                <w:sz w:val="20"/>
                <w:szCs w:val="20"/>
              </w:rPr>
              <w:t>B</w:t>
            </w:r>
          </w:p>
        </w:tc>
        <w:tc>
          <w:tcPr>
            <w:tcW w:w="1275" w:type="dxa"/>
            <w:tcBorders>
              <w:left w:val="single" w:color="auto" w:sz="4" w:space="0"/>
              <w:right w:val="single" w:color="auto" w:sz="4" w:space="0"/>
            </w:tcBorders>
            <w:vAlign w:val="center"/>
          </w:tcPr>
          <w:p>
            <w:pPr>
              <w:widowControl/>
              <w:jc w:val="center"/>
              <w:rPr>
                <w:kern w:val="0"/>
                <w:sz w:val="20"/>
                <w:szCs w:val="20"/>
              </w:rPr>
            </w:pPr>
            <w:r>
              <w:rPr>
                <w:rFonts w:hint="eastAsia"/>
                <w:kern w:val="0"/>
                <w:sz w:val="20"/>
                <w:szCs w:val="20"/>
              </w:rPr>
              <w:t>ZL201910466488.X；</w:t>
            </w:r>
          </w:p>
        </w:tc>
        <w:tc>
          <w:tcPr>
            <w:tcW w:w="1200" w:type="dxa"/>
            <w:tcBorders>
              <w:left w:val="single" w:color="auto" w:sz="4" w:space="0"/>
            </w:tcBorders>
            <w:vAlign w:val="center"/>
          </w:tcPr>
          <w:p>
            <w:pPr>
              <w:widowControl/>
              <w:jc w:val="center"/>
              <w:rPr>
                <w:kern w:val="0"/>
                <w:sz w:val="20"/>
                <w:szCs w:val="20"/>
              </w:rPr>
            </w:pPr>
            <w:r>
              <w:rPr>
                <w:rFonts w:hint="eastAsia"/>
                <w:kern w:val="0"/>
                <w:sz w:val="20"/>
                <w:szCs w:val="20"/>
              </w:rPr>
              <w:t>国家发明专利</w:t>
            </w:r>
          </w:p>
        </w:tc>
        <w:tc>
          <w:tcPr>
            <w:tcW w:w="1155" w:type="dxa"/>
            <w:vAlign w:val="center"/>
          </w:tcPr>
          <w:p>
            <w:pPr>
              <w:widowControl/>
              <w:jc w:val="center"/>
              <w:rPr>
                <w:kern w:val="0"/>
                <w:sz w:val="20"/>
                <w:szCs w:val="20"/>
              </w:rPr>
            </w:pPr>
            <w:r>
              <w:rPr>
                <w:rFonts w:hint="eastAsia"/>
                <w:kern w:val="0"/>
                <w:sz w:val="20"/>
                <w:szCs w:val="20"/>
              </w:rPr>
              <w:t>2</w:t>
            </w:r>
            <w:r>
              <w:rPr>
                <w:kern w:val="0"/>
                <w:sz w:val="20"/>
                <w:szCs w:val="20"/>
              </w:rPr>
              <w:t>021.7.20</w:t>
            </w:r>
          </w:p>
        </w:tc>
        <w:tc>
          <w:tcPr>
            <w:tcW w:w="945" w:type="dxa"/>
            <w:tcBorders>
              <w:right w:val="single" w:color="auto" w:sz="4" w:space="0"/>
            </w:tcBorders>
            <w:vAlign w:val="center"/>
          </w:tcPr>
          <w:p>
            <w:pPr>
              <w:widowControl/>
              <w:jc w:val="center"/>
              <w:rPr>
                <w:kern w:val="0"/>
                <w:sz w:val="20"/>
                <w:szCs w:val="20"/>
              </w:rPr>
            </w:pPr>
            <w:r>
              <w:rPr>
                <w:rFonts w:hint="eastAsia"/>
                <w:kern w:val="0"/>
                <w:sz w:val="20"/>
                <w:szCs w:val="20"/>
              </w:rPr>
              <w:t>第一</w:t>
            </w:r>
          </w:p>
        </w:tc>
        <w:tc>
          <w:tcPr>
            <w:tcW w:w="1154" w:type="dxa"/>
            <w:tcBorders>
              <w:left w:val="single" w:color="auto" w:sz="4" w:space="0"/>
            </w:tcBorders>
            <w:vAlign w:val="center"/>
          </w:tcPr>
          <w:p>
            <w:pPr>
              <w:widowControl/>
              <w:jc w:val="center"/>
              <w:rPr>
                <w:kern w:val="0"/>
                <w:sz w:val="20"/>
                <w:szCs w:val="20"/>
              </w:rPr>
            </w:pPr>
            <w:r>
              <w:rPr>
                <w:rFonts w:hint="eastAsia"/>
                <w:kern w:val="0"/>
                <w:sz w:val="20"/>
                <w:szCs w:val="20"/>
              </w:rPr>
              <w:t>未转让</w:t>
            </w:r>
          </w:p>
        </w:tc>
        <w:tc>
          <w:tcPr>
            <w:tcW w:w="1066" w:type="dxa"/>
            <w:tcBorders>
              <w:right w:val="single" w:color="auto" w:sz="4" w:space="0"/>
            </w:tcBorders>
            <w:vAlign w:val="center"/>
          </w:tcPr>
          <w:p>
            <w:pPr>
              <w:widowControl/>
              <w:jc w:val="center"/>
              <w:rPr>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kern w:val="0"/>
                <w:sz w:val="20"/>
                <w:szCs w:val="20"/>
              </w:rPr>
            </w:pPr>
            <w:r>
              <w:rPr>
                <w:kern w:val="0"/>
                <w:sz w:val="20"/>
                <w:szCs w:val="20"/>
              </w:rPr>
              <w:t>2</w:t>
            </w:r>
          </w:p>
        </w:tc>
        <w:tc>
          <w:tcPr>
            <w:tcW w:w="1803" w:type="dxa"/>
            <w:tcBorders>
              <w:left w:val="single" w:color="auto" w:sz="4" w:space="0"/>
            </w:tcBorders>
            <w:vAlign w:val="center"/>
          </w:tcPr>
          <w:p>
            <w:pPr>
              <w:jc w:val="center"/>
              <w:rPr>
                <w:kern w:val="0"/>
                <w:sz w:val="20"/>
                <w:szCs w:val="20"/>
              </w:rPr>
            </w:pPr>
            <w:r>
              <w:rPr>
                <w:rFonts w:hint="eastAsia"/>
                <w:kern w:val="0"/>
                <w:sz w:val="20"/>
                <w:szCs w:val="20"/>
              </w:rPr>
              <w:t>一种乡土红树植物榄李种子的收集及育苗方法</w:t>
            </w:r>
          </w:p>
        </w:tc>
        <w:tc>
          <w:tcPr>
            <w:tcW w:w="718" w:type="dxa"/>
            <w:tcBorders>
              <w:right w:val="single" w:color="auto" w:sz="4" w:space="0"/>
            </w:tcBorders>
            <w:vAlign w:val="center"/>
          </w:tcPr>
          <w:p>
            <w:pPr>
              <w:widowControl/>
              <w:jc w:val="center"/>
              <w:rPr>
                <w:kern w:val="0"/>
                <w:sz w:val="20"/>
                <w:szCs w:val="20"/>
              </w:rPr>
            </w:pPr>
            <w:r>
              <w:rPr>
                <w:rFonts w:hint="eastAsia"/>
                <w:kern w:val="0"/>
                <w:sz w:val="20"/>
                <w:szCs w:val="20"/>
              </w:rPr>
              <w:t>B</w:t>
            </w:r>
          </w:p>
        </w:tc>
        <w:tc>
          <w:tcPr>
            <w:tcW w:w="1275" w:type="dxa"/>
            <w:tcBorders>
              <w:left w:val="single" w:color="auto" w:sz="4" w:space="0"/>
              <w:right w:val="single" w:color="auto" w:sz="4" w:space="0"/>
            </w:tcBorders>
            <w:vAlign w:val="center"/>
          </w:tcPr>
          <w:p>
            <w:pPr>
              <w:widowControl/>
              <w:jc w:val="center"/>
              <w:rPr>
                <w:kern w:val="0"/>
                <w:sz w:val="20"/>
                <w:szCs w:val="20"/>
              </w:rPr>
            </w:pPr>
            <w:r>
              <w:rPr>
                <w:rFonts w:hint="eastAsia"/>
                <w:kern w:val="0"/>
                <w:sz w:val="20"/>
                <w:szCs w:val="20"/>
              </w:rPr>
              <w:t>ZL201910467506.6</w:t>
            </w:r>
          </w:p>
        </w:tc>
        <w:tc>
          <w:tcPr>
            <w:tcW w:w="1200" w:type="dxa"/>
            <w:tcBorders>
              <w:left w:val="single" w:color="auto" w:sz="4" w:space="0"/>
            </w:tcBorders>
            <w:vAlign w:val="center"/>
          </w:tcPr>
          <w:p>
            <w:pPr>
              <w:widowControl/>
              <w:jc w:val="center"/>
              <w:rPr>
                <w:kern w:val="0"/>
                <w:sz w:val="20"/>
                <w:szCs w:val="20"/>
              </w:rPr>
            </w:pPr>
            <w:r>
              <w:rPr>
                <w:rFonts w:hint="eastAsia"/>
                <w:kern w:val="0"/>
                <w:sz w:val="20"/>
                <w:szCs w:val="20"/>
              </w:rPr>
              <w:t>国家发明专利</w:t>
            </w:r>
          </w:p>
        </w:tc>
        <w:tc>
          <w:tcPr>
            <w:tcW w:w="1155" w:type="dxa"/>
            <w:vAlign w:val="center"/>
          </w:tcPr>
          <w:p>
            <w:pPr>
              <w:widowControl/>
              <w:jc w:val="center"/>
              <w:rPr>
                <w:kern w:val="0"/>
                <w:sz w:val="20"/>
                <w:szCs w:val="20"/>
              </w:rPr>
            </w:pPr>
            <w:r>
              <w:rPr>
                <w:rFonts w:hint="eastAsia"/>
                <w:kern w:val="0"/>
                <w:sz w:val="20"/>
                <w:szCs w:val="20"/>
              </w:rPr>
              <w:t>2</w:t>
            </w:r>
            <w:r>
              <w:rPr>
                <w:kern w:val="0"/>
                <w:sz w:val="20"/>
                <w:szCs w:val="20"/>
              </w:rPr>
              <w:t>021.8.13</w:t>
            </w:r>
          </w:p>
        </w:tc>
        <w:tc>
          <w:tcPr>
            <w:tcW w:w="945" w:type="dxa"/>
            <w:tcBorders>
              <w:right w:val="single" w:color="auto" w:sz="4" w:space="0"/>
            </w:tcBorders>
            <w:vAlign w:val="center"/>
          </w:tcPr>
          <w:p>
            <w:pPr>
              <w:widowControl/>
              <w:jc w:val="center"/>
              <w:rPr>
                <w:kern w:val="0"/>
                <w:sz w:val="20"/>
                <w:szCs w:val="20"/>
              </w:rPr>
            </w:pPr>
            <w:r>
              <w:rPr>
                <w:rFonts w:hint="eastAsia"/>
                <w:kern w:val="0"/>
                <w:sz w:val="20"/>
                <w:szCs w:val="20"/>
              </w:rPr>
              <w:t>第一</w:t>
            </w:r>
          </w:p>
        </w:tc>
        <w:tc>
          <w:tcPr>
            <w:tcW w:w="1154" w:type="dxa"/>
            <w:tcBorders>
              <w:left w:val="single" w:color="auto" w:sz="4" w:space="0"/>
            </w:tcBorders>
            <w:vAlign w:val="center"/>
          </w:tcPr>
          <w:p>
            <w:pPr>
              <w:widowControl/>
              <w:jc w:val="center"/>
              <w:rPr>
                <w:kern w:val="0"/>
                <w:sz w:val="20"/>
                <w:szCs w:val="20"/>
              </w:rPr>
            </w:pPr>
            <w:r>
              <w:rPr>
                <w:rFonts w:hint="eastAsia"/>
                <w:kern w:val="0"/>
                <w:sz w:val="20"/>
                <w:szCs w:val="20"/>
              </w:rPr>
              <w:t>未转让</w:t>
            </w:r>
          </w:p>
        </w:tc>
        <w:tc>
          <w:tcPr>
            <w:tcW w:w="1066" w:type="dxa"/>
            <w:tcBorders>
              <w:right w:val="single" w:color="auto" w:sz="4" w:space="0"/>
            </w:tcBorders>
            <w:vAlign w:val="center"/>
          </w:tcPr>
          <w:p>
            <w:pPr>
              <w:widowControl/>
              <w:jc w:val="center"/>
              <w:rPr>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vAlign w:val="center"/>
          </w:tcPr>
          <w:p>
            <w:pPr>
              <w:jc w:val="center"/>
              <w:rPr>
                <w:kern w:val="0"/>
                <w:sz w:val="20"/>
                <w:szCs w:val="20"/>
              </w:rPr>
            </w:pPr>
            <w:r>
              <w:rPr>
                <w:rFonts w:hint="eastAsia"/>
                <w:kern w:val="0"/>
                <w:sz w:val="20"/>
                <w:szCs w:val="20"/>
              </w:rPr>
              <w:t>3</w:t>
            </w:r>
          </w:p>
        </w:tc>
        <w:tc>
          <w:tcPr>
            <w:tcW w:w="1803" w:type="dxa"/>
            <w:tcBorders>
              <w:left w:val="single" w:color="auto" w:sz="4" w:space="0"/>
            </w:tcBorders>
            <w:vAlign w:val="center"/>
          </w:tcPr>
          <w:p>
            <w:pPr>
              <w:jc w:val="center"/>
              <w:rPr>
                <w:kern w:val="0"/>
                <w:sz w:val="20"/>
                <w:szCs w:val="20"/>
              </w:rPr>
            </w:pPr>
            <w:r>
              <w:rPr>
                <w:rFonts w:hint="eastAsia"/>
                <w:kern w:val="0"/>
                <w:sz w:val="20"/>
                <w:szCs w:val="20"/>
              </w:rPr>
              <w:t>一种濒危红树植物拟海桑幼苗抚育方法</w:t>
            </w:r>
          </w:p>
        </w:tc>
        <w:tc>
          <w:tcPr>
            <w:tcW w:w="718" w:type="dxa"/>
            <w:tcBorders>
              <w:right w:val="single" w:color="auto" w:sz="4" w:space="0"/>
            </w:tcBorders>
            <w:vAlign w:val="center"/>
          </w:tcPr>
          <w:p>
            <w:pPr>
              <w:widowControl/>
              <w:jc w:val="center"/>
              <w:rPr>
                <w:kern w:val="0"/>
                <w:sz w:val="20"/>
                <w:szCs w:val="20"/>
              </w:rPr>
            </w:pPr>
            <w:r>
              <w:rPr>
                <w:rFonts w:hint="eastAsia"/>
                <w:kern w:val="0"/>
                <w:sz w:val="20"/>
                <w:szCs w:val="20"/>
              </w:rPr>
              <w:t>B</w:t>
            </w:r>
          </w:p>
        </w:tc>
        <w:tc>
          <w:tcPr>
            <w:tcW w:w="1275" w:type="dxa"/>
            <w:tcBorders>
              <w:left w:val="single" w:color="auto" w:sz="4" w:space="0"/>
              <w:right w:val="single" w:color="auto" w:sz="4" w:space="0"/>
            </w:tcBorders>
            <w:vAlign w:val="center"/>
          </w:tcPr>
          <w:p>
            <w:pPr>
              <w:widowControl/>
              <w:jc w:val="center"/>
              <w:rPr>
                <w:kern w:val="0"/>
                <w:sz w:val="20"/>
                <w:szCs w:val="20"/>
              </w:rPr>
            </w:pPr>
            <w:r>
              <w:rPr>
                <w:rFonts w:hint="eastAsia"/>
                <w:kern w:val="0"/>
                <w:sz w:val="20"/>
                <w:szCs w:val="20"/>
              </w:rPr>
              <w:t>ZL201910466501.1</w:t>
            </w:r>
          </w:p>
        </w:tc>
        <w:tc>
          <w:tcPr>
            <w:tcW w:w="1200" w:type="dxa"/>
            <w:tcBorders>
              <w:left w:val="single" w:color="auto" w:sz="4" w:space="0"/>
            </w:tcBorders>
            <w:vAlign w:val="center"/>
          </w:tcPr>
          <w:p>
            <w:pPr>
              <w:widowControl/>
              <w:jc w:val="center"/>
              <w:rPr>
                <w:kern w:val="0"/>
                <w:sz w:val="20"/>
                <w:szCs w:val="20"/>
              </w:rPr>
            </w:pPr>
            <w:r>
              <w:rPr>
                <w:rFonts w:hint="eastAsia"/>
                <w:kern w:val="0"/>
                <w:sz w:val="20"/>
                <w:szCs w:val="20"/>
              </w:rPr>
              <w:t>国家发明专利</w:t>
            </w:r>
          </w:p>
        </w:tc>
        <w:tc>
          <w:tcPr>
            <w:tcW w:w="1155" w:type="dxa"/>
            <w:vAlign w:val="center"/>
          </w:tcPr>
          <w:p>
            <w:pPr>
              <w:widowControl/>
              <w:jc w:val="center"/>
              <w:rPr>
                <w:kern w:val="0"/>
                <w:sz w:val="20"/>
                <w:szCs w:val="20"/>
              </w:rPr>
            </w:pPr>
            <w:r>
              <w:rPr>
                <w:rFonts w:hint="eastAsia"/>
                <w:kern w:val="0"/>
                <w:sz w:val="20"/>
                <w:szCs w:val="20"/>
              </w:rPr>
              <w:t>2</w:t>
            </w:r>
            <w:r>
              <w:rPr>
                <w:kern w:val="0"/>
                <w:sz w:val="20"/>
                <w:szCs w:val="20"/>
              </w:rPr>
              <w:t>021.10.26</w:t>
            </w:r>
          </w:p>
        </w:tc>
        <w:tc>
          <w:tcPr>
            <w:tcW w:w="945" w:type="dxa"/>
            <w:tcBorders>
              <w:right w:val="single" w:color="auto" w:sz="4" w:space="0"/>
            </w:tcBorders>
            <w:vAlign w:val="center"/>
          </w:tcPr>
          <w:p>
            <w:pPr>
              <w:widowControl/>
              <w:jc w:val="center"/>
              <w:rPr>
                <w:kern w:val="0"/>
                <w:sz w:val="20"/>
                <w:szCs w:val="20"/>
              </w:rPr>
            </w:pPr>
            <w:r>
              <w:rPr>
                <w:rFonts w:hint="eastAsia"/>
                <w:kern w:val="0"/>
                <w:sz w:val="20"/>
                <w:szCs w:val="20"/>
              </w:rPr>
              <w:t>第一</w:t>
            </w:r>
          </w:p>
        </w:tc>
        <w:tc>
          <w:tcPr>
            <w:tcW w:w="1154" w:type="dxa"/>
            <w:tcBorders>
              <w:left w:val="single" w:color="auto" w:sz="4" w:space="0"/>
            </w:tcBorders>
            <w:vAlign w:val="center"/>
          </w:tcPr>
          <w:p>
            <w:pPr>
              <w:widowControl/>
              <w:jc w:val="center"/>
              <w:rPr>
                <w:kern w:val="0"/>
                <w:sz w:val="20"/>
                <w:szCs w:val="20"/>
              </w:rPr>
            </w:pPr>
            <w:r>
              <w:rPr>
                <w:rFonts w:hint="eastAsia"/>
                <w:kern w:val="0"/>
                <w:sz w:val="20"/>
                <w:szCs w:val="20"/>
              </w:rPr>
              <w:t>未转让</w:t>
            </w:r>
          </w:p>
        </w:tc>
        <w:tc>
          <w:tcPr>
            <w:tcW w:w="1066" w:type="dxa"/>
            <w:tcBorders>
              <w:right w:val="single" w:color="auto" w:sz="4" w:space="0"/>
            </w:tcBorders>
            <w:vAlign w:val="center"/>
          </w:tcPr>
          <w:p>
            <w:pPr>
              <w:widowControl/>
              <w:jc w:val="center"/>
              <w:rPr>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kern w:val="0"/>
                <w:sz w:val="20"/>
                <w:szCs w:val="20"/>
              </w:rPr>
            </w:pPr>
          </w:p>
        </w:tc>
        <w:tc>
          <w:tcPr>
            <w:tcW w:w="1803" w:type="dxa"/>
            <w:tcBorders>
              <w:left w:val="single" w:color="auto" w:sz="4" w:space="0"/>
            </w:tcBorders>
          </w:tcPr>
          <w:p>
            <w:pPr>
              <w:jc w:val="center"/>
              <w:rPr>
                <w:kern w:val="0"/>
                <w:sz w:val="20"/>
                <w:szCs w:val="20"/>
              </w:rPr>
            </w:pPr>
          </w:p>
        </w:tc>
        <w:tc>
          <w:tcPr>
            <w:tcW w:w="718" w:type="dxa"/>
            <w:tcBorders>
              <w:right w:val="single" w:color="auto" w:sz="4" w:space="0"/>
            </w:tcBorders>
          </w:tcPr>
          <w:p>
            <w:pPr>
              <w:widowControl/>
              <w:jc w:val="center"/>
              <w:rPr>
                <w:kern w:val="0"/>
                <w:sz w:val="20"/>
                <w:szCs w:val="20"/>
              </w:rPr>
            </w:pPr>
          </w:p>
        </w:tc>
        <w:tc>
          <w:tcPr>
            <w:tcW w:w="1275" w:type="dxa"/>
            <w:tcBorders>
              <w:left w:val="single" w:color="auto" w:sz="4" w:space="0"/>
              <w:right w:val="single" w:color="auto" w:sz="4" w:space="0"/>
            </w:tcBorders>
          </w:tcPr>
          <w:p>
            <w:pPr>
              <w:widowControl/>
              <w:jc w:val="center"/>
              <w:rPr>
                <w:kern w:val="0"/>
                <w:sz w:val="20"/>
                <w:szCs w:val="20"/>
              </w:rPr>
            </w:pPr>
          </w:p>
        </w:tc>
        <w:tc>
          <w:tcPr>
            <w:tcW w:w="1200" w:type="dxa"/>
            <w:tcBorders>
              <w:left w:val="single" w:color="auto" w:sz="4" w:space="0"/>
            </w:tcBorders>
          </w:tcPr>
          <w:p>
            <w:pPr>
              <w:widowControl/>
              <w:jc w:val="center"/>
              <w:rPr>
                <w:kern w:val="0"/>
                <w:sz w:val="20"/>
                <w:szCs w:val="20"/>
              </w:rPr>
            </w:pPr>
          </w:p>
        </w:tc>
        <w:tc>
          <w:tcPr>
            <w:tcW w:w="1155" w:type="dxa"/>
          </w:tcPr>
          <w:p>
            <w:pPr>
              <w:widowControl/>
              <w:jc w:val="center"/>
              <w:rPr>
                <w:kern w:val="0"/>
                <w:sz w:val="20"/>
                <w:szCs w:val="20"/>
              </w:rPr>
            </w:pPr>
          </w:p>
        </w:tc>
        <w:tc>
          <w:tcPr>
            <w:tcW w:w="945" w:type="dxa"/>
            <w:tcBorders>
              <w:right w:val="single" w:color="auto" w:sz="4" w:space="0"/>
            </w:tcBorders>
          </w:tcPr>
          <w:p>
            <w:pPr>
              <w:widowControl/>
              <w:jc w:val="center"/>
              <w:rPr>
                <w:kern w:val="0"/>
                <w:sz w:val="20"/>
                <w:szCs w:val="20"/>
              </w:rPr>
            </w:pPr>
          </w:p>
        </w:tc>
        <w:tc>
          <w:tcPr>
            <w:tcW w:w="1154" w:type="dxa"/>
            <w:tcBorders>
              <w:left w:val="single" w:color="auto" w:sz="4" w:space="0"/>
            </w:tcBorders>
          </w:tcPr>
          <w:p>
            <w:pPr>
              <w:widowControl/>
              <w:jc w:val="center"/>
              <w:rPr>
                <w:kern w:val="0"/>
                <w:sz w:val="20"/>
                <w:szCs w:val="20"/>
              </w:rPr>
            </w:pPr>
          </w:p>
        </w:tc>
        <w:tc>
          <w:tcPr>
            <w:tcW w:w="1066" w:type="dxa"/>
            <w:tcBorders>
              <w:right w:val="single" w:color="auto" w:sz="4" w:space="0"/>
            </w:tcBorders>
          </w:tcPr>
          <w:p>
            <w:pPr>
              <w:widowControl/>
              <w:jc w:val="center"/>
              <w:rPr>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kern w:val="0"/>
                <w:sz w:val="20"/>
                <w:szCs w:val="20"/>
              </w:rPr>
            </w:pPr>
          </w:p>
        </w:tc>
        <w:tc>
          <w:tcPr>
            <w:tcW w:w="1803" w:type="dxa"/>
            <w:tcBorders>
              <w:left w:val="single" w:color="auto" w:sz="4" w:space="0"/>
            </w:tcBorders>
          </w:tcPr>
          <w:p>
            <w:pPr>
              <w:jc w:val="center"/>
              <w:rPr>
                <w:kern w:val="0"/>
                <w:sz w:val="20"/>
                <w:szCs w:val="20"/>
              </w:rPr>
            </w:pPr>
          </w:p>
        </w:tc>
        <w:tc>
          <w:tcPr>
            <w:tcW w:w="718" w:type="dxa"/>
            <w:tcBorders>
              <w:right w:val="single" w:color="auto" w:sz="4" w:space="0"/>
            </w:tcBorders>
          </w:tcPr>
          <w:p>
            <w:pPr>
              <w:widowControl/>
              <w:jc w:val="center"/>
              <w:rPr>
                <w:kern w:val="0"/>
                <w:sz w:val="20"/>
                <w:szCs w:val="20"/>
              </w:rPr>
            </w:pPr>
          </w:p>
        </w:tc>
        <w:tc>
          <w:tcPr>
            <w:tcW w:w="1275" w:type="dxa"/>
            <w:tcBorders>
              <w:left w:val="single" w:color="auto" w:sz="4" w:space="0"/>
              <w:right w:val="single" w:color="auto" w:sz="4" w:space="0"/>
            </w:tcBorders>
          </w:tcPr>
          <w:p>
            <w:pPr>
              <w:widowControl/>
              <w:jc w:val="center"/>
              <w:rPr>
                <w:kern w:val="0"/>
                <w:sz w:val="20"/>
                <w:szCs w:val="20"/>
              </w:rPr>
            </w:pPr>
          </w:p>
        </w:tc>
        <w:tc>
          <w:tcPr>
            <w:tcW w:w="1200" w:type="dxa"/>
            <w:tcBorders>
              <w:left w:val="single" w:color="auto" w:sz="4" w:space="0"/>
            </w:tcBorders>
          </w:tcPr>
          <w:p>
            <w:pPr>
              <w:widowControl/>
              <w:jc w:val="center"/>
              <w:rPr>
                <w:kern w:val="0"/>
                <w:sz w:val="20"/>
                <w:szCs w:val="20"/>
              </w:rPr>
            </w:pPr>
          </w:p>
        </w:tc>
        <w:tc>
          <w:tcPr>
            <w:tcW w:w="1155" w:type="dxa"/>
          </w:tcPr>
          <w:p>
            <w:pPr>
              <w:widowControl/>
              <w:jc w:val="center"/>
              <w:rPr>
                <w:kern w:val="0"/>
                <w:sz w:val="20"/>
                <w:szCs w:val="20"/>
              </w:rPr>
            </w:pPr>
          </w:p>
        </w:tc>
        <w:tc>
          <w:tcPr>
            <w:tcW w:w="945" w:type="dxa"/>
            <w:tcBorders>
              <w:right w:val="single" w:color="auto" w:sz="4" w:space="0"/>
            </w:tcBorders>
          </w:tcPr>
          <w:p>
            <w:pPr>
              <w:widowControl/>
              <w:jc w:val="center"/>
              <w:rPr>
                <w:kern w:val="0"/>
                <w:sz w:val="20"/>
                <w:szCs w:val="20"/>
              </w:rPr>
            </w:pPr>
          </w:p>
        </w:tc>
        <w:tc>
          <w:tcPr>
            <w:tcW w:w="1154" w:type="dxa"/>
            <w:tcBorders>
              <w:left w:val="single" w:color="auto" w:sz="4" w:space="0"/>
            </w:tcBorders>
          </w:tcPr>
          <w:p>
            <w:pPr>
              <w:widowControl/>
              <w:jc w:val="center"/>
              <w:rPr>
                <w:kern w:val="0"/>
                <w:sz w:val="20"/>
                <w:szCs w:val="20"/>
              </w:rPr>
            </w:pPr>
          </w:p>
        </w:tc>
        <w:tc>
          <w:tcPr>
            <w:tcW w:w="1066" w:type="dxa"/>
            <w:tcBorders>
              <w:right w:val="single" w:color="auto" w:sz="4" w:space="0"/>
            </w:tcBorders>
          </w:tcPr>
          <w:p>
            <w:pPr>
              <w:widowControl/>
              <w:jc w:val="center"/>
              <w:rPr>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kern w:val="0"/>
                <w:sz w:val="20"/>
                <w:szCs w:val="20"/>
              </w:rPr>
            </w:pPr>
          </w:p>
        </w:tc>
        <w:tc>
          <w:tcPr>
            <w:tcW w:w="1803" w:type="dxa"/>
            <w:tcBorders>
              <w:left w:val="single" w:color="auto" w:sz="4" w:space="0"/>
            </w:tcBorders>
          </w:tcPr>
          <w:p>
            <w:pPr>
              <w:jc w:val="center"/>
              <w:rPr>
                <w:kern w:val="0"/>
                <w:sz w:val="20"/>
                <w:szCs w:val="20"/>
              </w:rPr>
            </w:pPr>
          </w:p>
        </w:tc>
        <w:tc>
          <w:tcPr>
            <w:tcW w:w="718" w:type="dxa"/>
            <w:tcBorders>
              <w:right w:val="single" w:color="auto" w:sz="4" w:space="0"/>
            </w:tcBorders>
          </w:tcPr>
          <w:p>
            <w:pPr>
              <w:widowControl/>
              <w:jc w:val="center"/>
              <w:rPr>
                <w:kern w:val="0"/>
                <w:sz w:val="20"/>
                <w:szCs w:val="20"/>
              </w:rPr>
            </w:pPr>
          </w:p>
        </w:tc>
        <w:tc>
          <w:tcPr>
            <w:tcW w:w="1275" w:type="dxa"/>
            <w:tcBorders>
              <w:left w:val="single" w:color="auto" w:sz="4" w:space="0"/>
              <w:right w:val="single" w:color="auto" w:sz="4" w:space="0"/>
            </w:tcBorders>
          </w:tcPr>
          <w:p>
            <w:pPr>
              <w:widowControl/>
              <w:jc w:val="center"/>
              <w:rPr>
                <w:kern w:val="0"/>
                <w:sz w:val="20"/>
                <w:szCs w:val="20"/>
              </w:rPr>
            </w:pPr>
          </w:p>
        </w:tc>
        <w:tc>
          <w:tcPr>
            <w:tcW w:w="1200" w:type="dxa"/>
            <w:tcBorders>
              <w:left w:val="single" w:color="auto" w:sz="4" w:space="0"/>
            </w:tcBorders>
          </w:tcPr>
          <w:p>
            <w:pPr>
              <w:widowControl/>
              <w:jc w:val="center"/>
              <w:rPr>
                <w:kern w:val="0"/>
                <w:sz w:val="20"/>
                <w:szCs w:val="20"/>
              </w:rPr>
            </w:pPr>
          </w:p>
        </w:tc>
        <w:tc>
          <w:tcPr>
            <w:tcW w:w="1155" w:type="dxa"/>
          </w:tcPr>
          <w:p>
            <w:pPr>
              <w:widowControl/>
              <w:jc w:val="center"/>
              <w:rPr>
                <w:kern w:val="0"/>
                <w:sz w:val="20"/>
                <w:szCs w:val="20"/>
              </w:rPr>
            </w:pPr>
          </w:p>
        </w:tc>
        <w:tc>
          <w:tcPr>
            <w:tcW w:w="945" w:type="dxa"/>
            <w:tcBorders>
              <w:right w:val="single" w:color="auto" w:sz="4" w:space="0"/>
            </w:tcBorders>
          </w:tcPr>
          <w:p>
            <w:pPr>
              <w:widowControl/>
              <w:jc w:val="center"/>
              <w:rPr>
                <w:kern w:val="0"/>
                <w:sz w:val="20"/>
                <w:szCs w:val="20"/>
              </w:rPr>
            </w:pPr>
          </w:p>
        </w:tc>
        <w:tc>
          <w:tcPr>
            <w:tcW w:w="1154" w:type="dxa"/>
            <w:tcBorders>
              <w:left w:val="single" w:color="auto" w:sz="4" w:space="0"/>
            </w:tcBorders>
          </w:tcPr>
          <w:p>
            <w:pPr>
              <w:widowControl/>
              <w:jc w:val="center"/>
              <w:rPr>
                <w:kern w:val="0"/>
                <w:sz w:val="20"/>
                <w:szCs w:val="20"/>
              </w:rPr>
            </w:pPr>
          </w:p>
        </w:tc>
        <w:tc>
          <w:tcPr>
            <w:tcW w:w="1066" w:type="dxa"/>
            <w:tcBorders>
              <w:right w:val="single" w:color="auto" w:sz="4" w:space="0"/>
            </w:tcBorders>
          </w:tcPr>
          <w:p>
            <w:pPr>
              <w:widowControl/>
              <w:jc w:val="center"/>
              <w:rPr>
                <w:kern w:val="0"/>
                <w:sz w:val="20"/>
                <w:szCs w:val="20"/>
              </w:rPr>
            </w:pPr>
          </w:p>
        </w:tc>
      </w:tr>
    </w:tbl>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pPr>
              <w:spacing w:line="360" w:lineRule="auto"/>
              <w:ind w:firstLine="420" w:firstLineChars="200"/>
            </w:pPr>
            <w:r>
              <w:rPr>
                <w:rFonts w:hint="eastAsia"/>
              </w:rPr>
              <w:t>杨勇，男，博士，实验师，硕士研究生导师，海南自贸港E类人才，于2</w:t>
            </w:r>
            <w:r>
              <w:t>014</w:t>
            </w:r>
            <w:r>
              <w:rPr>
                <w:rFonts w:hint="eastAsia"/>
              </w:rPr>
              <w:t>年</w:t>
            </w:r>
            <w:r>
              <w:t>8</w:t>
            </w:r>
            <w:r>
              <w:rPr>
                <w:rFonts w:hint="eastAsia"/>
              </w:rPr>
              <w:t>就职于海南师范大学，2</w:t>
            </w:r>
            <w:r>
              <w:t>017</w:t>
            </w:r>
            <w:r>
              <w:rPr>
                <w:rFonts w:hint="eastAsia"/>
              </w:rPr>
              <w:t>年1</w:t>
            </w:r>
            <w:r>
              <w:t>2</w:t>
            </w:r>
            <w:r>
              <w:rPr>
                <w:rFonts w:hint="eastAsia"/>
              </w:rPr>
              <w:t>月获得实验师资格，2</w:t>
            </w:r>
            <w:r>
              <w:t>020</w:t>
            </w:r>
            <w:r>
              <w:rPr>
                <w:rFonts w:hint="eastAsia"/>
              </w:rPr>
              <w:t>年7月被聘任实验师岗位，从事实验室管理工作相关的工作。</w:t>
            </w:r>
          </w:p>
          <w:p>
            <w:pPr>
              <w:spacing w:line="360" w:lineRule="auto"/>
            </w:pPr>
            <w:r>
              <w:rPr>
                <w:rFonts w:hint="eastAsia"/>
              </w:rPr>
              <w:t>一、思想政治和师德表现</w:t>
            </w:r>
          </w:p>
          <w:p>
            <w:pPr>
              <w:spacing w:line="360" w:lineRule="auto"/>
              <w:ind w:firstLine="420" w:firstLineChars="200"/>
            </w:pPr>
            <w:r>
              <w:rPr>
                <w:rFonts w:hint="eastAsia"/>
              </w:rPr>
              <w:t>作为一名中国共产党党员，本人坚持中国共产党领导，坚持中国特色社会主义制度，与党中央保持高度一致；热爱祖国，遵守法律法规，遵守社会公德、职业道德和学术道德，遵守学校规章制度；热爱教育事业，认真贯彻落实党的教育方针、政策，积极学习教育教学理论；时刻树立教学育人的大局观念，增强使命感，不断加强学习和提高个人能力，全身心投入教研和教学工作。以人才培养、科学研究、社会服务和文化传承创新为己任，工作作风踏实，工作主动性强，恪尽职守，自尊自律，清廉从教，甘于奉献。</w:t>
            </w:r>
          </w:p>
          <w:p>
            <w:pPr>
              <w:spacing w:line="360" w:lineRule="auto"/>
            </w:pPr>
            <w:r>
              <w:rPr>
                <w:rFonts w:hint="eastAsia"/>
              </w:rPr>
              <w:t>二、实验室管理工作</w:t>
            </w:r>
          </w:p>
          <w:p>
            <w:pPr>
              <w:spacing w:line="360" w:lineRule="auto"/>
              <w:ind w:firstLine="420" w:firstLineChars="200"/>
            </w:pPr>
            <w:r>
              <w:rPr>
                <w:rFonts w:hint="eastAsia"/>
              </w:rPr>
              <w:t>任实验师以来，本人负责实验课准备和实验室管理工作。每年负责5门实验课程的准备工作，包括生物技术专业的《基因工程》、《酶工程》、《发酵工程》和《细胞工程》和生态学专业的《分子生态学》实验课，实验之前准备好所需的各种实验材料和仪器，维护好实验仪器的正常使用，做到心中有数，与任课教师及时沟通并协助其完成正常教学任务。利用自己的专业特长，开发大肠杆菌表达和纯化GFP蛋白技术用于生物化学实验技术教学，对生物化学实验教研小组成员徐志霞（实验师）的培养做出了积极的指导，相关研究成果发表在中文核心期刊《实验室研究与探索》上。还负责学院热带岛屿生态学教育部重点实验室公共仪器室大型仪器设备的管理工作，包括实验场地的安全与卫生，仪器设备的维护与保养和仪器使用指导等工作。通过E-mail、电话、QQ、微信等方式与厂家技术工程师建立了良好的“亦师亦友”关系，不仅及时解决了仪器设备使用过程中出现的软硬件问题，也提高了本人处理大型仪器设备突发问题的技术能力，更好的服务师生科研。除此之外，还负责学院危化品、易制毒药品、易制爆药品、剧毒药品仓库的管理工作，负责上述药品保管、出入库、过期药品的报废工作。</w:t>
            </w:r>
          </w:p>
          <w:p>
            <w:pPr>
              <w:spacing w:line="360" w:lineRule="auto"/>
            </w:pPr>
            <w:r>
              <w:rPr>
                <w:rFonts w:hint="eastAsia"/>
              </w:rPr>
              <w:t>三、科研工作</w:t>
            </w:r>
          </w:p>
          <w:p>
            <w:pPr>
              <w:spacing w:line="360" w:lineRule="auto"/>
              <w:ind w:firstLine="420" w:firstLineChars="200"/>
            </w:pPr>
            <w:r>
              <w:rPr>
                <w:rFonts w:hint="eastAsia"/>
              </w:rPr>
              <w:t>在完成本职工作的同时，积极参与科研工作，主要开展了红树植物生态适应机制、濒危红树植物的濒危机制和繁育技术等方面的研究，主持海南省重点研发计划项目1项（</w:t>
            </w:r>
            <w:r>
              <w:t>ZDYF2021SHFZ259</w:t>
            </w:r>
            <w:r>
              <w:rPr>
                <w:rFonts w:hint="eastAsia"/>
              </w:rPr>
              <w:t>），海南省自然科学基金1项（</w:t>
            </w:r>
            <w:r>
              <w:t>319QN213</w:t>
            </w:r>
            <w:r>
              <w:rPr>
                <w:rFonts w:hint="eastAsia"/>
              </w:rPr>
              <w:t>），主持横向项目1项，参与多项国家自然科学基金，任现职以来，以第一或者通讯作者发表研究论文6篇，其中B类期刊6篇，获得国家发明专利授权3项（ZL201910466488.X；</w:t>
            </w:r>
            <w:r>
              <w:t>ZL201910467506.6</w:t>
            </w:r>
            <w:r>
              <w:rPr>
                <w:rFonts w:hint="eastAsia"/>
              </w:rPr>
              <w:t>；</w:t>
            </w:r>
            <w:r>
              <w:t>ZL201910466501.1</w:t>
            </w:r>
            <w:r>
              <w:rPr>
                <w:rFonts w:hint="eastAsia"/>
              </w:rPr>
              <w:t>），参与出版专著1部。</w:t>
            </w:r>
          </w:p>
          <w:p>
            <w:pPr>
              <w:spacing w:line="360" w:lineRule="auto"/>
            </w:pPr>
            <w:r>
              <w:rPr>
                <w:rFonts w:hint="eastAsia"/>
              </w:rPr>
              <w:t>四、社会服务</w:t>
            </w:r>
          </w:p>
          <w:p>
            <w:pPr>
              <w:spacing w:line="360" w:lineRule="auto"/>
              <w:ind w:firstLine="420" w:firstLineChars="200"/>
            </w:pPr>
            <w:r>
              <w:rPr>
                <w:rFonts w:hint="eastAsia"/>
              </w:rPr>
              <w:t>利用自己的专长，积极开展濒危红树保护工作，掌握了多种国家一级和二级濒危红树的繁育及种群恢复技术，与当地林业管理和科研部门开展积极合作，指导海口，三亚和陵水等地开展濒危红树植物保护和种群恢复工作，相关成果获得海南省2</w:t>
            </w:r>
            <w:r>
              <w:t>022</w:t>
            </w:r>
            <w:r>
              <w:rPr>
                <w:rFonts w:hint="eastAsia"/>
              </w:rPr>
              <w:t>年科学技术进步奖二等奖（已公示）。</w:t>
            </w:r>
          </w:p>
          <w:p>
            <w:pPr>
              <w:spacing w:line="360" w:lineRule="auto"/>
              <w:ind w:firstLine="420" w:firstLineChars="200"/>
            </w:pPr>
            <w:r>
              <w:rPr>
                <w:rFonts w:hint="eastAsia"/>
              </w:rPr>
              <w:t>以上是我任职以来的专业技术工作主要情况，通过自己的努力，虽然在工作、教学和科研上取得了一些进步，但仍存在一些不足。在今后的工作中，我将继续总结经验、克服不足、加倍努力，不断提高自己，争取更大的进步。</w:t>
            </w:r>
          </w:p>
          <w:p/>
          <w:p/>
          <w:p/>
          <w:p/>
          <w:p>
            <w:r>
              <w:rPr>
                <w:rFonts w:hint="eastAsia"/>
              </w:rPr>
              <w:t>本人承诺：</w:t>
            </w:r>
          </w:p>
          <w:p/>
          <w:p>
            <w:r>
              <w:rPr>
                <w:rFonts w:hint="eastAsia"/>
              </w:rPr>
              <w:t xml:space="preserve">                                                       签名：                   年   月   日</w:t>
            </w:r>
          </w:p>
        </w:tc>
      </w:tr>
    </w:tbl>
    <w:p/>
    <w:tbl>
      <w:tblPr>
        <w:tblStyle w:val="5"/>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代表作1名称：</w:t>
            </w:r>
            <w:r>
              <w:rPr>
                <w:rFonts w:ascii="Times New Roman" w:hAnsi="Times New Roman" w:cs="Times New Roman"/>
                <w:b/>
                <w:bCs/>
                <w:color w:val="000000"/>
                <w:kern w:val="0"/>
                <w:sz w:val="24"/>
              </w:rPr>
              <w:t>Yang Y</w:t>
            </w:r>
            <w:r>
              <w:rPr>
                <w:rFonts w:ascii="Times New Roman" w:hAnsi="Times New Roman" w:cs="Times New Roman"/>
                <w:color w:val="000000"/>
                <w:kern w:val="0"/>
                <w:sz w:val="24"/>
              </w:rPr>
              <w:t xml:space="preserve">, Zhang Y, Chen Y, Gul J, Zhang J, Liu Q, Chen Q. (2019). Complete chloroplast genome sequence of the mangrove species </w:t>
            </w:r>
            <w:r>
              <w:rPr>
                <w:rFonts w:ascii="Times New Roman" w:hAnsi="Times New Roman" w:cs="Times New Roman"/>
                <w:i/>
                <w:iCs/>
                <w:color w:val="000000"/>
                <w:kern w:val="0"/>
                <w:sz w:val="24"/>
              </w:rPr>
              <w:t>Kandelia obovata</w:t>
            </w:r>
            <w:r>
              <w:rPr>
                <w:rFonts w:ascii="Times New Roman" w:hAnsi="Times New Roman" w:cs="Times New Roman"/>
                <w:color w:val="000000"/>
                <w:kern w:val="0"/>
                <w:sz w:val="24"/>
              </w:rPr>
              <w:t xml:space="preserve"> and comparative analyses with related species. PeerJ 7: e7713</w:t>
            </w:r>
          </w:p>
          <w:p>
            <w:pPr>
              <w:widowControl/>
              <w:jc w:val="left"/>
              <w:rPr>
                <w:rFonts w:ascii="Times New Roman" w:hAnsi="Times New Roman" w:cs="Times New Roman"/>
                <w:color w:val="000000"/>
                <w:kern w:val="0"/>
                <w:szCs w:val="21"/>
              </w:rPr>
            </w:pPr>
            <w:r>
              <w:rPr>
                <w:rFonts w:hint="eastAsia" w:ascii="宋体" w:hAnsi="宋体" w:cs="Arial"/>
                <w:color w:val="000000"/>
                <w:kern w:val="0"/>
                <w:szCs w:val="21"/>
              </w:rPr>
              <w:t>代表作2名称：</w:t>
            </w:r>
            <w:r>
              <w:rPr>
                <w:rFonts w:ascii="Times New Roman" w:hAnsi="Times New Roman" w:cs="Times New Roman"/>
                <w:b/>
                <w:bCs/>
                <w:color w:val="000000"/>
                <w:kern w:val="0"/>
                <w:szCs w:val="21"/>
              </w:rPr>
              <w:t>Yang Y</w:t>
            </w:r>
            <w:r>
              <w:rPr>
                <w:rFonts w:ascii="Times New Roman" w:hAnsi="Times New Roman" w:cs="Times New Roman"/>
                <w:color w:val="000000"/>
                <w:kern w:val="0"/>
                <w:szCs w:val="21"/>
              </w:rPr>
              <w:t xml:space="preserve">, Zheng C, Zhong C, Lu T, Gul J, Jin X, Zhang Y, &amp; Liu Q (2021). Transcriptome analysis of </w:t>
            </w:r>
            <w:r>
              <w:rPr>
                <w:rFonts w:ascii="Times New Roman" w:hAnsi="Times New Roman" w:cs="Times New Roman"/>
                <w:i/>
                <w:iCs/>
                <w:color w:val="000000"/>
                <w:kern w:val="0"/>
                <w:szCs w:val="21"/>
              </w:rPr>
              <w:t>Sonneratia caseolaris</w:t>
            </w:r>
            <w:r>
              <w:rPr>
                <w:rFonts w:ascii="Times New Roman" w:hAnsi="Times New Roman" w:cs="Times New Roman"/>
                <w:color w:val="000000"/>
                <w:kern w:val="0"/>
                <w:szCs w:val="21"/>
              </w:rPr>
              <w:t xml:space="preserve"> seedlings under chilling stress. PeerJ, 9, e11506.</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12</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FhZmM4MDBiMGMyOWIxOTNmMDE5OTQ5NzNjN2Q0YWUifQ=="/>
  </w:docVars>
  <w:rsids>
    <w:rsidRoot w:val="0033126B"/>
    <w:rsid w:val="0002075C"/>
    <w:rsid w:val="00024587"/>
    <w:rsid w:val="00050B41"/>
    <w:rsid w:val="00057849"/>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27940"/>
    <w:rsid w:val="00136E7A"/>
    <w:rsid w:val="00163F01"/>
    <w:rsid w:val="00171343"/>
    <w:rsid w:val="00171BEC"/>
    <w:rsid w:val="00192A61"/>
    <w:rsid w:val="001937B4"/>
    <w:rsid w:val="001B72B7"/>
    <w:rsid w:val="001C2BDF"/>
    <w:rsid w:val="001D2597"/>
    <w:rsid w:val="001D793F"/>
    <w:rsid w:val="001E1E38"/>
    <w:rsid w:val="001E3388"/>
    <w:rsid w:val="00211798"/>
    <w:rsid w:val="00226AC5"/>
    <w:rsid w:val="002270A7"/>
    <w:rsid w:val="00245180"/>
    <w:rsid w:val="002708F9"/>
    <w:rsid w:val="00271356"/>
    <w:rsid w:val="002859E6"/>
    <w:rsid w:val="002A70A7"/>
    <w:rsid w:val="002C2E4D"/>
    <w:rsid w:val="002C5A7B"/>
    <w:rsid w:val="002E42F6"/>
    <w:rsid w:val="002E4B76"/>
    <w:rsid w:val="002E5783"/>
    <w:rsid w:val="002F1EC4"/>
    <w:rsid w:val="00300558"/>
    <w:rsid w:val="00314EE7"/>
    <w:rsid w:val="00324D6E"/>
    <w:rsid w:val="0033126B"/>
    <w:rsid w:val="0033420A"/>
    <w:rsid w:val="00342D04"/>
    <w:rsid w:val="00345CE6"/>
    <w:rsid w:val="00353237"/>
    <w:rsid w:val="00353FFB"/>
    <w:rsid w:val="0036206F"/>
    <w:rsid w:val="00363732"/>
    <w:rsid w:val="00370BC7"/>
    <w:rsid w:val="00373E62"/>
    <w:rsid w:val="00384C68"/>
    <w:rsid w:val="0039125D"/>
    <w:rsid w:val="003B5BA5"/>
    <w:rsid w:val="003C5B6D"/>
    <w:rsid w:val="003C6F7B"/>
    <w:rsid w:val="003D6C2A"/>
    <w:rsid w:val="00410217"/>
    <w:rsid w:val="00413D18"/>
    <w:rsid w:val="004248C7"/>
    <w:rsid w:val="00424D1B"/>
    <w:rsid w:val="004254EC"/>
    <w:rsid w:val="004315A8"/>
    <w:rsid w:val="0044001C"/>
    <w:rsid w:val="00455996"/>
    <w:rsid w:val="004632E2"/>
    <w:rsid w:val="00476B91"/>
    <w:rsid w:val="00477CC6"/>
    <w:rsid w:val="00481C0E"/>
    <w:rsid w:val="004849BB"/>
    <w:rsid w:val="00492E46"/>
    <w:rsid w:val="0049565C"/>
    <w:rsid w:val="004A7AE8"/>
    <w:rsid w:val="004B1AFD"/>
    <w:rsid w:val="004C3CAB"/>
    <w:rsid w:val="004F21A1"/>
    <w:rsid w:val="004F6993"/>
    <w:rsid w:val="00501DE0"/>
    <w:rsid w:val="00506C39"/>
    <w:rsid w:val="00507D8E"/>
    <w:rsid w:val="00527C04"/>
    <w:rsid w:val="0054551E"/>
    <w:rsid w:val="00583E93"/>
    <w:rsid w:val="005C0A41"/>
    <w:rsid w:val="005E042A"/>
    <w:rsid w:val="005E06B1"/>
    <w:rsid w:val="005E3440"/>
    <w:rsid w:val="005E58F4"/>
    <w:rsid w:val="00603337"/>
    <w:rsid w:val="00607D1E"/>
    <w:rsid w:val="00617C9D"/>
    <w:rsid w:val="00621A2C"/>
    <w:rsid w:val="00623BB8"/>
    <w:rsid w:val="00647D66"/>
    <w:rsid w:val="00661C50"/>
    <w:rsid w:val="00661D38"/>
    <w:rsid w:val="006636EB"/>
    <w:rsid w:val="0067462D"/>
    <w:rsid w:val="006846FA"/>
    <w:rsid w:val="00690D02"/>
    <w:rsid w:val="006913D6"/>
    <w:rsid w:val="00691EF6"/>
    <w:rsid w:val="006E5989"/>
    <w:rsid w:val="006E7007"/>
    <w:rsid w:val="006E7E68"/>
    <w:rsid w:val="006F5D4B"/>
    <w:rsid w:val="007031A9"/>
    <w:rsid w:val="00723698"/>
    <w:rsid w:val="00727EBA"/>
    <w:rsid w:val="007313BA"/>
    <w:rsid w:val="00734128"/>
    <w:rsid w:val="007415CC"/>
    <w:rsid w:val="00741F1A"/>
    <w:rsid w:val="00745302"/>
    <w:rsid w:val="00746377"/>
    <w:rsid w:val="007638C8"/>
    <w:rsid w:val="00786107"/>
    <w:rsid w:val="00791333"/>
    <w:rsid w:val="00797271"/>
    <w:rsid w:val="007A6787"/>
    <w:rsid w:val="007C0616"/>
    <w:rsid w:val="007E7FD3"/>
    <w:rsid w:val="008134E4"/>
    <w:rsid w:val="008269F0"/>
    <w:rsid w:val="00826A66"/>
    <w:rsid w:val="00830327"/>
    <w:rsid w:val="00833AA5"/>
    <w:rsid w:val="00843160"/>
    <w:rsid w:val="00867374"/>
    <w:rsid w:val="008678EB"/>
    <w:rsid w:val="00872E0F"/>
    <w:rsid w:val="008764C0"/>
    <w:rsid w:val="00876F0D"/>
    <w:rsid w:val="00882519"/>
    <w:rsid w:val="00882DF7"/>
    <w:rsid w:val="008861CB"/>
    <w:rsid w:val="0089698F"/>
    <w:rsid w:val="008A1CDC"/>
    <w:rsid w:val="008A55C6"/>
    <w:rsid w:val="008B4063"/>
    <w:rsid w:val="008B5E5E"/>
    <w:rsid w:val="008C4C0F"/>
    <w:rsid w:val="008E3532"/>
    <w:rsid w:val="008E7D19"/>
    <w:rsid w:val="00912A23"/>
    <w:rsid w:val="0092531B"/>
    <w:rsid w:val="00956FEE"/>
    <w:rsid w:val="009624BB"/>
    <w:rsid w:val="00962F66"/>
    <w:rsid w:val="00967876"/>
    <w:rsid w:val="00986A75"/>
    <w:rsid w:val="009C1F06"/>
    <w:rsid w:val="009E64C8"/>
    <w:rsid w:val="00A03435"/>
    <w:rsid w:val="00A12F14"/>
    <w:rsid w:val="00A356DA"/>
    <w:rsid w:val="00A600A4"/>
    <w:rsid w:val="00A76956"/>
    <w:rsid w:val="00A770FA"/>
    <w:rsid w:val="00A97298"/>
    <w:rsid w:val="00AB55FA"/>
    <w:rsid w:val="00AB5EA9"/>
    <w:rsid w:val="00AD5CCC"/>
    <w:rsid w:val="00AF445F"/>
    <w:rsid w:val="00B061F9"/>
    <w:rsid w:val="00B06BF4"/>
    <w:rsid w:val="00B07F41"/>
    <w:rsid w:val="00B16465"/>
    <w:rsid w:val="00B22E22"/>
    <w:rsid w:val="00B77839"/>
    <w:rsid w:val="00B82843"/>
    <w:rsid w:val="00B92456"/>
    <w:rsid w:val="00BA2227"/>
    <w:rsid w:val="00BA646C"/>
    <w:rsid w:val="00BB119B"/>
    <w:rsid w:val="00BB5C85"/>
    <w:rsid w:val="00BB617D"/>
    <w:rsid w:val="00BC2293"/>
    <w:rsid w:val="00BC4355"/>
    <w:rsid w:val="00BD1A32"/>
    <w:rsid w:val="00BD4E90"/>
    <w:rsid w:val="00C008D8"/>
    <w:rsid w:val="00C011C8"/>
    <w:rsid w:val="00C0165A"/>
    <w:rsid w:val="00C132C8"/>
    <w:rsid w:val="00C2389A"/>
    <w:rsid w:val="00C77711"/>
    <w:rsid w:val="00C96100"/>
    <w:rsid w:val="00CB1F99"/>
    <w:rsid w:val="00CB3264"/>
    <w:rsid w:val="00CD42FF"/>
    <w:rsid w:val="00CD7981"/>
    <w:rsid w:val="00D04DC8"/>
    <w:rsid w:val="00D20B34"/>
    <w:rsid w:val="00D3482D"/>
    <w:rsid w:val="00D349A5"/>
    <w:rsid w:val="00D36A37"/>
    <w:rsid w:val="00D3748A"/>
    <w:rsid w:val="00D41163"/>
    <w:rsid w:val="00D416C2"/>
    <w:rsid w:val="00D41CF0"/>
    <w:rsid w:val="00D4368A"/>
    <w:rsid w:val="00D61C0A"/>
    <w:rsid w:val="00D66B57"/>
    <w:rsid w:val="00D820E2"/>
    <w:rsid w:val="00D922C7"/>
    <w:rsid w:val="00DA3AD6"/>
    <w:rsid w:val="00DA6B66"/>
    <w:rsid w:val="00DB02E4"/>
    <w:rsid w:val="00DC11A1"/>
    <w:rsid w:val="00DC7365"/>
    <w:rsid w:val="00DD5F4F"/>
    <w:rsid w:val="00DD7968"/>
    <w:rsid w:val="00DE299B"/>
    <w:rsid w:val="00DE4A28"/>
    <w:rsid w:val="00E034CB"/>
    <w:rsid w:val="00E07849"/>
    <w:rsid w:val="00E12254"/>
    <w:rsid w:val="00E169F5"/>
    <w:rsid w:val="00E206F2"/>
    <w:rsid w:val="00E713EE"/>
    <w:rsid w:val="00EB1023"/>
    <w:rsid w:val="00EB311D"/>
    <w:rsid w:val="00ED30F2"/>
    <w:rsid w:val="00EE2F78"/>
    <w:rsid w:val="00EE3937"/>
    <w:rsid w:val="00EE5924"/>
    <w:rsid w:val="00EE6C07"/>
    <w:rsid w:val="00EE79DB"/>
    <w:rsid w:val="00F12876"/>
    <w:rsid w:val="00F327B9"/>
    <w:rsid w:val="00F35E44"/>
    <w:rsid w:val="00F50D1D"/>
    <w:rsid w:val="00F60202"/>
    <w:rsid w:val="00F75973"/>
    <w:rsid w:val="00F76AAC"/>
    <w:rsid w:val="00F82DFD"/>
    <w:rsid w:val="00F841C6"/>
    <w:rsid w:val="00F8579D"/>
    <w:rsid w:val="00FA4387"/>
    <w:rsid w:val="00FA46E3"/>
    <w:rsid w:val="00FA5F50"/>
    <w:rsid w:val="00FB28EC"/>
    <w:rsid w:val="00FB42F6"/>
    <w:rsid w:val="00FB478A"/>
    <w:rsid w:val="00FC7AA9"/>
    <w:rsid w:val="00FD5538"/>
    <w:rsid w:val="00FF28C5"/>
    <w:rsid w:val="00FF54C9"/>
    <w:rsid w:val="00FF7774"/>
    <w:rsid w:val="144A4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uiPriority w:val="99"/>
    <w:rPr>
      <w:sz w:val="18"/>
      <w:szCs w:val="18"/>
    </w:rPr>
  </w:style>
  <w:style w:type="character" w:customStyle="1" w:styleId="10">
    <w:name w:val="页脚 字符"/>
    <w:basedOn w:val="7"/>
    <w:link w:val="3"/>
    <w:uiPriority w:val="99"/>
    <w:rPr>
      <w:sz w:val="18"/>
      <w:szCs w:val="18"/>
    </w:rPr>
  </w:style>
  <w:style w:type="character" w:customStyle="1" w:styleId="11">
    <w:name w:val="批注框文本 字符"/>
    <w:basedOn w:val="7"/>
    <w:link w:val="2"/>
    <w:semiHidden/>
    <w:uiPriority w:val="99"/>
    <w:rPr>
      <w:sz w:val="18"/>
      <w:szCs w:val="18"/>
    </w:rPr>
  </w:style>
  <w:style w:type="paragraph" w:styleId="12">
    <w:name w:val="List Paragraph"/>
    <w:basedOn w:val="1"/>
    <w:qFormat/>
    <w:uiPriority w:val="34"/>
    <w:pPr>
      <w:ind w:firstLine="420" w:firstLineChars="200"/>
    </w:pPr>
  </w:style>
  <w:style w:type="table" w:customStyle="1" w:styleId="13">
    <w:name w:val="网格型1"/>
    <w:basedOn w:val="5"/>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15</Pages>
  <Words>1325</Words>
  <Characters>7559</Characters>
  <Lines>62</Lines>
  <Paragraphs>17</Paragraphs>
  <TotalTime>443</TotalTime>
  <ScaleCrop>false</ScaleCrop>
  <LinksUpToDate>false</LinksUpToDate>
  <CharactersWithSpaces>8867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2018-11-04T02:00:00Z</cp:lastPrinted>
  <dcterms:modified xsi:type="dcterms:W3CDTF">2023-09-06T00:19:34Z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EFBB1F3751444B1E9D0EAFD7CE3CD796_12</vt:lpwstr>
  </property>
</Properties>
</file>