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ascii="宋体" w:hAnsi="宋体"/>
          <w:sz w:val="52"/>
          <w:u w:val="single"/>
        </w:rPr>
        <w:t>2022</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（实验系列专用）</w:t>
      </w:r>
    </w:p>
    <w:p>
      <w:pPr>
        <w:rPr>
          <w:sz w:val="30"/>
        </w:rPr>
      </w:pP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生命科学学院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徐志霞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sz w:val="24"/>
          <w:u w:val="single"/>
        </w:rPr>
        <w:t xml:space="preserve">    </w:t>
      </w:r>
      <w:r>
        <w:rPr>
          <w:rFonts w:hint="eastAsia"/>
          <w:sz w:val="24"/>
          <w:u w:val="single"/>
        </w:rPr>
        <w:t xml:space="preserve">实验师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sz w:val="24"/>
          <w:u w:val="single"/>
        </w:rPr>
        <w:t xml:space="preserve">   </w:t>
      </w:r>
      <w:r>
        <w:rPr>
          <w:rFonts w:hint="eastAsia"/>
          <w:sz w:val="24"/>
          <w:u w:val="single"/>
        </w:rPr>
        <w:t xml:space="preserve">生物学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sz w:val="24"/>
          <w:u w:val="single"/>
        </w:rPr>
        <w:t xml:space="preserve">   </w:t>
      </w:r>
      <w:r>
        <w:rPr>
          <w:rFonts w:hint="eastAsia"/>
          <w:sz w:val="24"/>
          <w:u w:val="single"/>
        </w:rPr>
        <w:t xml:space="preserve"> 高级实验师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sz w:val="24"/>
          <w:u w:val="single"/>
        </w:rPr>
        <w:t xml:space="preserve">  </w:t>
      </w:r>
      <w:r>
        <w:rPr>
          <w:rFonts w:hint="default"/>
          <w:sz w:val="24"/>
          <w:u w:val="single"/>
          <w:lang w:val="en-US"/>
        </w:rPr>
        <w:t xml:space="preserve">           </w:t>
      </w:r>
      <w:r>
        <w:rPr>
          <w:rFonts w:hint="eastAsia"/>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 xml:space="preserve">填表时间：    </w:t>
      </w:r>
      <w:r>
        <w:rPr>
          <w:sz w:val="24"/>
        </w:rPr>
        <w:t>2023</w:t>
      </w:r>
      <w:r>
        <w:rPr>
          <w:rFonts w:hint="eastAsia"/>
          <w:sz w:val="24"/>
        </w:rPr>
        <w:t xml:space="preserve">  年   </w:t>
      </w:r>
      <w:r>
        <w:rPr>
          <w:sz w:val="24"/>
        </w:rPr>
        <w:t>8</w:t>
      </w:r>
      <w:r>
        <w:rPr>
          <w:rFonts w:hint="eastAsia"/>
          <w:sz w:val="24"/>
        </w:rPr>
        <w:t xml:space="preserve">  月  </w:t>
      </w:r>
      <w:r>
        <w:rPr>
          <w:sz w:val="24"/>
        </w:rPr>
        <w:t>26</w:t>
      </w:r>
      <w:r>
        <w:rPr>
          <w:rFonts w:hint="eastAsia"/>
          <w:sz w:val="24"/>
        </w:rPr>
        <w:t xml:space="preserve">  日</w:t>
      </w: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ind w:firstLine="2400" w:firstLineChars="1000"/>
        <w:rPr>
          <w:sz w:val="24"/>
        </w:rPr>
      </w:pPr>
    </w:p>
    <w:p>
      <w:pPr>
        <w:jc w:val="center"/>
        <w:rPr>
          <w:sz w:val="32"/>
        </w:rPr>
      </w:pPr>
    </w:p>
    <w:p>
      <w:pPr>
        <w:jc w:val="center"/>
        <w:rPr>
          <w:rFonts w:eastAsia="黑体"/>
          <w:sz w:val="44"/>
        </w:rPr>
      </w:pPr>
      <w:r>
        <w:rPr>
          <w:rFonts w:hint="eastAsia" w:eastAsia="黑体"/>
          <w:sz w:val="44"/>
        </w:rPr>
        <w:t>填表说明</w:t>
      </w:r>
    </w:p>
    <w:p>
      <w:pPr>
        <w:jc w:val="center"/>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1.本表供本校专业技术人员评审实验系列专业技术资格时使用。１—10页由被评审者填写，第4页中思想品德鉴定和师德师风表现由所在单位填写并盖章，第6页“学院审核情况”由学院填写审核意见。11—12页由基层评审工作委员会或职称办填写。填写内容应经人事部门审核认可，编号由人事（职改）部门统一编制。</w:t>
      </w:r>
    </w:p>
    <w:p>
      <w:pPr>
        <w:ind w:firstLine="640" w:firstLineChars="200"/>
        <w:rPr>
          <w:rFonts w:ascii="仿宋_GB2312" w:eastAsia="仿宋_GB2312"/>
          <w:sz w:val="32"/>
          <w:szCs w:val="32"/>
        </w:rPr>
      </w:pPr>
      <w:r>
        <w:rPr>
          <w:rFonts w:hint="eastAsia" w:ascii="仿宋_GB2312" w:eastAsia="仿宋_GB2312"/>
          <w:sz w:val="32"/>
          <w:szCs w:val="32"/>
        </w:rPr>
        <w:t>2.年月日一律用公历阿拉伯数字填字。</w:t>
      </w:r>
    </w:p>
    <w:p>
      <w:pPr>
        <w:ind w:firstLine="640" w:firstLineChars="200"/>
        <w:rPr>
          <w:rFonts w:ascii="仿宋_GB2312" w:eastAsia="仿宋_GB2312"/>
          <w:sz w:val="32"/>
          <w:szCs w:val="32"/>
        </w:rPr>
      </w:pPr>
      <w:r>
        <w:rPr>
          <w:rFonts w:hint="eastAsia" w:ascii="仿宋_GB2312" w:eastAsia="仿宋_GB2312"/>
          <w:sz w:val="32"/>
          <w:szCs w:val="32"/>
        </w:rPr>
        <w:t>3.“相片”一律用近期一寸正面半身免冠照。</w:t>
      </w:r>
    </w:p>
    <w:p>
      <w:pPr>
        <w:ind w:firstLine="640" w:firstLineChars="200"/>
        <w:rPr>
          <w:rFonts w:ascii="仿宋_GB2312" w:eastAsia="仿宋_GB2312"/>
          <w:sz w:val="32"/>
          <w:szCs w:val="32"/>
        </w:rPr>
      </w:pPr>
      <w:r>
        <w:rPr>
          <w:rFonts w:hint="eastAsia" w:ascii="仿宋_GB2312" w:eastAsia="仿宋_GB2312"/>
          <w:sz w:val="32"/>
          <w:szCs w:val="32"/>
        </w:rPr>
        <w:t>4.“毕业学校”填毕业学校当时的全称。</w:t>
      </w:r>
    </w:p>
    <w:p>
      <w:pPr>
        <w:ind w:firstLine="640" w:firstLineChars="200"/>
        <w:rPr>
          <w:rFonts w:ascii="仿宋_GB2312" w:eastAsia="仿宋_GB2312"/>
          <w:sz w:val="32"/>
          <w:szCs w:val="32"/>
        </w:rPr>
      </w:pPr>
      <w:r>
        <w:rPr>
          <w:rFonts w:hint="eastAsia" w:ascii="仿宋_GB2312" w:eastAsia="仿宋_GB2312"/>
          <w:sz w:val="32"/>
          <w:szCs w:val="32"/>
        </w:rPr>
        <w:t>5.晋升形式：正常晋升或转评。</w:t>
      </w:r>
    </w:p>
    <w:p>
      <w:pPr>
        <w:ind w:firstLine="640" w:firstLineChars="200"/>
        <w:rPr>
          <w:rFonts w:ascii="仿宋_GB2312" w:eastAsia="仿宋_GB2312"/>
          <w:sz w:val="32"/>
          <w:szCs w:val="32"/>
        </w:rPr>
      </w:pPr>
      <w:r>
        <w:rPr>
          <w:rFonts w:hint="eastAsia" w:ascii="仿宋_GB2312" w:eastAsia="仿宋_GB2312"/>
          <w:sz w:val="32"/>
          <w:szCs w:val="32"/>
        </w:rPr>
        <w:t>6.申报资格名称：实验师、高级实验师。</w:t>
      </w:r>
    </w:p>
    <w:p>
      <w:pPr>
        <w:ind w:firstLine="640" w:firstLineChars="200"/>
        <w:rPr>
          <w:rFonts w:ascii="仿宋_GB2312" w:eastAsia="仿宋_GB2312"/>
          <w:sz w:val="32"/>
          <w:szCs w:val="32"/>
        </w:rPr>
      </w:pPr>
      <w:r>
        <w:rPr>
          <w:rFonts w:hint="eastAsia" w:ascii="仿宋_GB2312" w:eastAsia="仿宋_GB2312"/>
          <w:sz w:val="32"/>
          <w:szCs w:val="32"/>
        </w:rPr>
        <w:t>7.聘任年限应足年，按“5年6个月”格式填写，一年按12个月计算，如2017年3月起聘，到2018年12月，任职年限就只有一年10个月，不到二年。</w:t>
      </w:r>
    </w:p>
    <w:p>
      <w:pPr>
        <w:ind w:firstLine="640" w:firstLineChars="200"/>
        <w:rPr>
          <w:rFonts w:ascii="仿宋_GB2312" w:eastAsia="仿宋_GB2312"/>
          <w:sz w:val="32"/>
          <w:szCs w:val="32"/>
        </w:rPr>
      </w:pPr>
      <w:r>
        <w:rPr>
          <w:rFonts w:hint="eastAsia" w:ascii="仿宋_GB2312" w:eastAsia="仿宋_GB2312"/>
          <w:sz w:val="32"/>
          <w:szCs w:val="32"/>
        </w:rPr>
        <w:t>8.学年及学期表达：如2017-2018(一)、2015-2016(二)。</w:t>
      </w:r>
    </w:p>
    <w:p>
      <w:pPr>
        <w:ind w:firstLine="640" w:firstLineChars="200"/>
        <w:rPr>
          <w:rFonts w:ascii="仿宋_GB2312" w:eastAsia="仿宋_GB2312"/>
          <w:sz w:val="32"/>
          <w:szCs w:val="32"/>
        </w:rPr>
      </w:pPr>
      <w:r>
        <w:rPr>
          <w:rFonts w:hint="eastAsia" w:ascii="仿宋_GB2312" w:eastAsia="仿宋_GB2312"/>
          <w:sz w:val="32"/>
          <w:szCs w:val="32"/>
        </w:rPr>
        <w:t>9.如填写表格内容较多，可自行增加行，没有内容的表格可删减行，但至少保留表头及一行，不可全删除。</w:t>
      </w:r>
    </w:p>
    <w:p>
      <w:pPr>
        <w:rPr>
          <w:rFonts w:ascii="仿宋_GB2312" w:eastAsia="仿宋_GB2312"/>
          <w:sz w:val="32"/>
          <w:szCs w:val="32"/>
        </w:rPr>
      </w:pPr>
    </w:p>
    <w:p>
      <w:pPr>
        <w:widowControl/>
        <w:jc w:val="left"/>
        <w:rPr>
          <w:b/>
          <w:sz w:val="32"/>
          <w:szCs w:val="32"/>
        </w:rPr>
      </w:pPr>
      <w:r>
        <w:rPr>
          <w:b/>
          <w:sz w:val="32"/>
          <w:szCs w:val="32"/>
        </w:rPr>
        <w:br w:type="page"/>
      </w:r>
    </w:p>
    <w:p>
      <w:pPr>
        <w:jc w:val="center"/>
        <w:rPr>
          <w:b/>
          <w:sz w:val="32"/>
          <w:szCs w:val="32"/>
        </w:rPr>
      </w:pPr>
      <w:r>
        <w:rPr>
          <w:rFonts w:hint="eastAsia"/>
          <w:b/>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4"/>
        <w:gridCol w:w="565"/>
        <w:gridCol w:w="425"/>
        <w:gridCol w:w="141"/>
        <w:gridCol w:w="142"/>
        <w:gridCol w:w="142"/>
        <w:gridCol w:w="567"/>
        <w:gridCol w:w="283"/>
        <w:gridCol w:w="284"/>
        <w:gridCol w:w="708"/>
        <w:gridCol w:w="289"/>
        <w:gridCol w:w="850"/>
        <w:gridCol w:w="16"/>
        <w:gridCol w:w="263"/>
        <w:gridCol w:w="709"/>
        <w:gridCol w:w="430"/>
        <w:gridCol w:w="276"/>
        <w:gridCol w:w="574"/>
        <w:gridCol w:w="142"/>
        <w:gridCol w:w="141"/>
        <w:gridCol w:w="426"/>
        <w:gridCol w:w="285"/>
        <w:gridCol w:w="849"/>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15"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徐志霞</w:t>
            </w:r>
          </w:p>
        </w:tc>
        <w:tc>
          <w:tcPr>
            <w:tcW w:w="567"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女</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ascii="宋体" w:hAnsi="宋体" w:cs="Arial"/>
                <w:color w:val="000000"/>
                <w:kern w:val="0"/>
                <w:szCs w:val="21"/>
              </w:rPr>
              <w:t>1985</w:t>
            </w:r>
            <w:r>
              <w:rPr>
                <w:rFonts w:hint="eastAsia" w:ascii="宋体" w:hAnsi="宋体" w:cs="Arial"/>
                <w:color w:val="000000"/>
                <w:kern w:val="0"/>
                <w:szCs w:val="21"/>
              </w:rPr>
              <w:t>.</w:t>
            </w:r>
            <w:r>
              <w:rPr>
                <w:rFonts w:ascii="宋体" w:hAnsi="宋体" w:cs="Arial"/>
                <w:color w:val="000000"/>
                <w:kern w:val="0"/>
                <w:szCs w:val="21"/>
              </w:rPr>
              <w:t>11</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中共党员</w:t>
            </w:r>
          </w:p>
        </w:tc>
        <w:tc>
          <w:tcPr>
            <w:tcW w:w="1843" w:type="dxa"/>
            <w:gridSpan w:val="5"/>
            <w:vMerge w:val="restart"/>
            <w:tcBorders>
              <w:top w:val="single" w:color="000000" w:sz="4" w:space="0"/>
              <w:left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相片</w:t>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265"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高等学校教师资格</w:t>
            </w:r>
          </w:p>
          <w:p>
            <w:pPr>
              <w:widowControl/>
              <w:jc w:val="center"/>
              <w:rPr>
                <w:rFonts w:ascii="宋体" w:hAnsi="宋体" w:cs="Arial"/>
                <w:color w:val="000000"/>
                <w:kern w:val="0"/>
                <w:szCs w:val="21"/>
              </w:rPr>
            </w:pPr>
            <w:r>
              <w:rPr>
                <w:rFonts w:hint="eastAsia" w:ascii="宋体" w:hAnsi="宋体" w:cs="Arial"/>
                <w:color w:val="000000"/>
                <w:kern w:val="0"/>
                <w:szCs w:val="21"/>
              </w:rPr>
              <w:t>生物学</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15" w:type="dxa"/>
            <w:gridSpan w:val="5"/>
            <w:tcBorders>
              <w:top w:val="single" w:color="000000" w:sz="4" w:space="0"/>
              <w:bottom w:val="single" w:color="000000" w:sz="4" w:space="0"/>
              <w:right w:val="single" w:color="000000" w:sz="4" w:space="0"/>
            </w:tcBorders>
            <w:vAlign w:val="center"/>
          </w:tcPr>
          <w:p>
            <w:pPr>
              <w:widowControl/>
              <w:ind w:firstLine="210" w:firstLineChars="100"/>
              <w:rPr>
                <w:rFonts w:ascii="宋体" w:hAnsi="宋体" w:cs="Arial"/>
                <w:color w:val="000000"/>
                <w:kern w:val="0"/>
                <w:szCs w:val="21"/>
              </w:rPr>
            </w:pPr>
            <w:r>
              <w:rPr>
                <w:rFonts w:hint="eastAsia" w:ascii="宋体" w:hAnsi="宋体" w:cs="Arial"/>
                <w:color w:val="000000"/>
                <w:kern w:val="0"/>
                <w:szCs w:val="21"/>
              </w:rPr>
              <w:t>厦门大学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992"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研究生硕士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生物化学与分子生物学</w:t>
            </w:r>
            <w:bookmarkStart w:id="0" w:name="_GoBack"/>
            <w:bookmarkEnd w:id="0"/>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15" w:type="dxa"/>
            <w:gridSpan w:val="5"/>
            <w:tcBorders>
              <w:top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生命科学学院</w:t>
            </w:r>
          </w:p>
        </w:tc>
        <w:tc>
          <w:tcPr>
            <w:tcW w:w="850" w:type="dxa"/>
            <w:gridSpan w:val="2"/>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992"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011.07</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生物化学</w:t>
            </w:r>
          </w:p>
        </w:tc>
        <w:tc>
          <w:tcPr>
            <w:tcW w:w="711"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正常</w:t>
            </w:r>
          </w:p>
          <w:p>
            <w:pPr>
              <w:widowControl/>
              <w:jc w:val="center"/>
              <w:rPr>
                <w:rFonts w:ascii="宋体" w:hAnsi="宋体" w:cs="Arial"/>
                <w:color w:val="000000"/>
                <w:kern w:val="0"/>
                <w:szCs w:val="21"/>
              </w:rPr>
            </w:pPr>
            <w:r>
              <w:rPr>
                <w:rFonts w:hint="eastAsia" w:ascii="宋体" w:hAnsi="宋体" w:cs="Arial"/>
                <w:color w:val="000000"/>
                <w:kern w:val="0"/>
                <w:szCs w:val="21"/>
              </w:rPr>
              <w:t>晋升</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实验师</w:t>
            </w:r>
          </w:p>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013.8.31</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pPr>
              <w:pStyle w:val="12"/>
              <w:widowControl/>
              <w:numPr>
                <w:ilvl w:val="0"/>
                <w:numId w:val="1"/>
              </w:numPr>
              <w:ind w:firstLineChars="0"/>
              <w:rPr>
                <w:rFonts w:ascii="宋体" w:hAnsi="宋体" w:cs="Arial"/>
                <w:color w:val="000000"/>
                <w:kern w:val="0"/>
                <w:szCs w:val="21"/>
              </w:rPr>
            </w:pPr>
            <w:r>
              <w:rPr>
                <w:rFonts w:hint="eastAsia" w:ascii="宋体" w:hAnsi="宋体" w:cs="Arial"/>
                <w:color w:val="000000"/>
                <w:kern w:val="0"/>
                <w:szCs w:val="21"/>
              </w:rPr>
              <w:t>实验技术组</w:t>
            </w:r>
          </w:p>
        </w:tc>
        <w:tc>
          <w:tcPr>
            <w:tcW w:w="711"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外语</w:t>
            </w:r>
          </w:p>
          <w:p>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免试</w:t>
            </w:r>
          </w:p>
        </w:tc>
      </w:tr>
      <w:tr>
        <w:tblPrEx>
          <w:tblCellMar>
            <w:top w:w="0" w:type="dxa"/>
            <w:left w:w="108" w:type="dxa"/>
            <w:bottom w:w="0" w:type="dxa"/>
            <w:right w:w="108" w:type="dxa"/>
          </w:tblCellMar>
        </w:tblPrEx>
        <w:trPr>
          <w:trHeight w:val="529"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现任专业技术职务聘任时间及聘任单位</w:t>
            </w:r>
          </w:p>
        </w:tc>
        <w:tc>
          <w:tcPr>
            <w:tcW w:w="2267"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ascii="宋体" w:hAnsi="宋体" w:cs="Arial"/>
                <w:color w:val="000000"/>
                <w:kern w:val="0"/>
                <w:szCs w:val="21"/>
              </w:rPr>
              <w:t>2013.9.1</w:t>
            </w:r>
          </w:p>
          <w:p>
            <w:pPr>
              <w:widowControl/>
              <w:jc w:val="center"/>
              <w:rPr>
                <w:rFonts w:ascii="宋体" w:hAnsi="宋体" w:cs="Arial"/>
                <w:color w:val="000000"/>
                <w:kern w:val="0"/>
                <w:szCs w:val="21"/>
              </w:rPr>
            </w:pPr>
            <w:r>
              <w:rPr>
                <w:rFonts w:hint="eastAsia" w:ascii="宋体" w:hAnsi="宋体" w:cs="Arial"/>
                <w:color w:val="000000"/>
                <w:kern w:val="0"/>
                <w:szCs w:val="21"/>
              </w:rPr>
              <w:t>生命科学学院</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ascii="宋体" w:hAnsi="宋体" w:cs="Arial"/>
                <w:color w:val="000000"/>
                <w:kern w:val="0"/>
                <w:szCs w:val="21"/>
              </w:rPr>
              <w:t>9</w:t>
            </w:r>
            <w:r>
              <w:rPr>
                <w:rFonts w:hint="eastAsia" w:ascii="宋体" w:hAnsi="宋体" w:cs="Arial"/>
                <w:color w:val="000000"/>
                <w:kern w:val="0"/>
                <w:szCs w:val="21"/>
              </w:rPr>
              <w:t xml:space="preserve">年 </w:t>
            </w:r>
            <w:r>
              <w:rPr>
                <w:rFonts w:ascii="宋体" w:hAnsi="宋体" w:cs="Arial"/>
                <w:color w:val="000000"/>
                <w:kern w:val="0"/>
                <w:szCs w:val="21"/>
              </w:rPr>
              <w:t>3</w:t>
            </w:r>
            <w:r>
              <w:rPr>
                <w:rFonts w:hint="eastAsia" w:ascii="宋体" w:hAnsi="宋体" w:cs="Arial"/>
                <w:color w:val="000000"/>
                <w:kern w:val="0"/>
                <w:szCs w:val="21"/>
              </w:rPr>
              <w:t xml:space="preserve"> 个月</w:t>
            </w:r>
          </w:p>
        </w:tc>
        <w:tc>
          <w:tcPr>
            <w:tcW w:w="857" w:type="dxa"/>
            <w:gridSpan w:val="3"/>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01303016</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10"/>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生物学</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高级实验师</w:t>
            </w:r>
          </w:p>
        </w:tc>
      </w:tr>
      <w:tr>
        <w:tblPrEx>
          <w:tblCellMar>
            <w:top w:w="0" w:type="dxa"/>
            <w:left w:w="108" w:type="dxa"/>
            <w:bottom w:w="0" w:type="dxa"/>
            <w:right w:w="108" w:type="dxa"/>
          </w:tblCellMar>
        </w:tblPrEx>
        <w:trPr>
          <w:trHeight w:val="259" w:hRule="atLeast"/>
        </w:trPr>
        <w:tc>
          <w:tcPr>
            <w:tcW w:w="2264" w:type="dxa"/>
            <w:gridSpan w:val="3"/>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7517" w:type="dxa"/>
            <w:gridSpan w:val="20"/>
            <w:tcBorders>
              <w:top w:val="single" w:color="000000" w:sz="4" w:space="0"/>
              <w:left w:val="nil"/>
              <w:bottom w:val="single" w:color="auto"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31" w:hRule="atLeast"/>
        </w:trPr>
        <w:tc>
          <w:tcPr>
            <w:tcW w:w="2264" w:type="dxa"/>
            <w:gridSpan w:val="3"/>
            <w:tcBorders>
              <w:top w:val="single" w:color="auto" w:sz="4" w:space="0"/>
              <w:left w:val="single" w:color="000000"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破格申请条件</w:t>
            </w:r>
          </w:p>
          <w:p>
            <w:pPr>
              <w:jc w:val="center"/>
              <w:rPr>
                <w:rFonts w:ascii="宋体" w:hAnsi="宋体" w:cs="Arial"/>
                <w:color w:val="000000"/>
                <w:kern w:val="0"/>
                <w:szCs w:val="21"/>
              </w:rPr>
            </w:pPr>
            <w:r>
              <w:rPr>
                <w:rFonts w:hint="eastAsia" w:ascii="宋体" w:hAnsi="宋体" w:cs="Arial"/>
                <w:color w:val="000000"/>
                <w:kern w:val="0"/>
                <w:szCs w:val="21"/>
              </w:rPr>
              <w:t>(正常及转评不填)</w:t>
            </w:r>
          </w:p>
        </w:tc>
        <w:tc>
          <w:tcPr>
            <w:tcW w:w="7517" w:type="dxa"/>
            <w:gridSpan w:val="20"/>
            <w:tcBorders>
              <w:top w:val="single" w:color="auto" w:sz="4" w:space="0"/>
              <w:left w:val="nil"/>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符合条件</w:t>
            </w:r>
            <w:r>
              <w:rPr>
                <w:rFonts w:hint="eastAsia" w:ascii="宋体" w:hAnsi="宋体" w:cs="Arial"/>
                <w:color w:val="000000"/>
                <w:kern w:val="0"/>
                <w:szCs w:val="21"/>
                <w:u w:val="single"/>
              </w:rPr>
              <w:t xml:space="preserve">    </w:t>
            </w:r>
            <w:r>
              <w:rPr>
                <w:rFonts w:hint="eastAsia" w:ascii="宋体" w:hAnsi="宋体" w:cs="Arial"/>
                <w:color w:val="000000"/>
                <w:kern w:val="0"/>
                <w:szCs w:val="21"/>
              </w:rPr>
              <w:t>：</w:t>
            </w:r>
          </w:p>
        </w:tc>
      </w:tr>
      <w:tr>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w:t>
            </w:r>
          </w:p>
          <w:p>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004.09-2008.07</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山东师范大学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生命科学学院</w:t>
            </w:r>
          </w:p>
          <w:p>
            <w:pPr>
              <w:widowControl/>
              <w:jc w:val="center"/>
              <w:rPr>
                <w:rFonts w:ascii="宋体" w:hAnsi="宋体" w:cs="Arial"/>
                <w:color w:val="000000"/>
                <w:kern w:val="0"/>
                <w:szCs w:val="21"/>
              </w:rPr>
            </w:pPr>
            <w:r>
              <w:rPr>
                <w:rFonts w:hint="eastAsia" w:ascii="宋体" w:hAnsi="宋体" w:cs="Arial"/>
                <w:color w:val="000000"/>
                <w:kern w:val="0"/>
                <w:szCs w:val="21"/>
              </w:rPr>
              <w:t xml:space="preserve"> 生物科学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戴美学</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008.09-2011.07</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厦门大学</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生命科学学院</w:t>
            </w:r>
          </w:p>
          <w:p>
            <w:pPr>
              <w:widowControl/>
              <w:jc w:val="center"/>
              <w:rPr>
                <w:rFonts w:ascii="宋体" w:hAnsi="宋体" w:cs="Arial"/>
                <w:color w:val="000000"/>
                <w:kern w:val="0"/>
                <w:szCs w:val="21"/>
              </w:rPr>
            </w:pPr>
            <w:r>
              <w:rPr>
                <w:rFonts w:hint="eastAsia" w:ascii="宋体" w:hAnsi="宋体" w:cs="Arial"/>
                <w:color w:val="000000"/>
                <w:kern w:val="0"/>
                <w:szCs w:val="21"/>
              </w:rPr>
              <w:t>生物化学与分子生物学</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林天伟</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022.11.4-2022.11.1</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上海市研发公共服务平台管理中心</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大型科研仪器设备实验技术人才培养系列讲座</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合格证</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王锐萍</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022.6.10-</w:t>
            </w:r>
          </w:p>
          <w:p>
            <w:pPr>
              <w:widowControl/>
              <w:jc w:val="center"/>
              <w:rPr>
                <w:rFonts w:ascii="宋体" w:hAnsi="宋体" w:cs="Arial"/>
                <w:color w:val="000000"/>
                <w:kern w:val="0"/>
                <w:szCs w:val="21"/>
              </w:rPr>
            </w:pPr>
            <w:r>
              <w:rPr>
                <w:rFonts w:ascii="宋体" w:hAnsi="宋体" w:cs="Arial"/>
                <w:color w:val="000000"/>
                <w:kern w:val="0"/>
                <w:szCs w:val="21"/>
              </w:rPr>
              <w:t>2022.6.11</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教育部全国高校教师网络培训中心</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高校教学实验室安全与管理专题研修学习培训班</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合格证</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王锐萍</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022.10.19-</w:t>
            </w:r>
          </w:p>
          <w:p>
            <w:pPr>
              <w:widowControl/>
              <w:jc w:val="center"/>
              <w:rPr>
                <w:rFonts w:ascii="宋体" w:hAnsi="宋体" w:cs="Arial"/>
                <w:color w:val="000000"/>
                <w:kern w:val="0"/>
                <w:szCs w:val="21"/>
              </w:rPr>
            </w:pPr>
            <w:r>
              <w:rPr>
                <w:rFonts w:ascii="宋体" w:hAnsi="宋体" w:cs="Arial"/>
                <w:color w:val="000000"/>
                <w:kern w:val="0"/>
                <w:szCs w:val="21"/>
              </w:rPr>
              <w:t>2022.10.20</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海南省科技创新发展服务中心</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w:t>
            </w:r>
            <w:r>
              <w:rPr>
                <w:rFonts w:hint="eastAsia" w:ascii="宋体" w:hAnsi="宋体" w:cs="Arial"/>
                <w:color w:val="000000"/>
                <w:kern w:val="0"/>
                <w:szCs w:val="21"/>
              </w:rPr>
              <w:t>年第一期大型科学仪器开发共享工作培训会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合格证</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王锐萍</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022.11.15</w:t>
            </w: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培训</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海南省科技创新发展服务中心</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2022年第二期大型科学仪器开发共享工作培训会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合格证</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国内</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王锐萍</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gridSpan w:val="23"/>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4"/>
            <w:vAlign w:val="center"/>
          </w:tcPr>
          <w:p>
            <w:pPr>
              <w:jc w:val="center"/>
              <w:rPr>
                <w:sz w:val="24"/>
              </w:rPr>
            </w:pPr>
            <w:r>
              <w:rPr>
                <w:rFonts w:hint="eastAsia"/>
                <w:sz w:val="24"/>
              </w:rPr>
              <w:t>起  止  时  间</w:t>
            </w:r>
          </w:p>
        </w:tc>
        <w:tc>
          <w:tcPr>
            <w:tcW w:w="3265" w:type="dxa"/>
            <w:gridSpan w:val="8"/>
            <w:vAlign w:val="center"/>
          </w:tcPr>
          <w:p>
            <w:pPr>
              <w:jc w:val="center"/>
              <w:rPr>
                <w:sz w:val="24"/>
              </w:rPr>
            </w:pPr>
            <w:r>
              <w:rPr>
                <w:rFonts w:hint="eastAsia"/>
                <w:sz w:val="24"/>
              </w:rPr>
              <w:t>单      位</w:t>
            </w:r>
          </w:p>
        </w:tc>
        <w:tc>
          <w:tcPr>
            <w:tcW w:w="2410" w:type="dxa"/>
            <w:gridSpan w:val="7"/>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gridSpan w:val="4"/>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gridSpan w:val="4"/>
            <w:vAlign w:val="center"/>
          </w:tcPr>
          <w:p>
            <w:pPr>
              <w:jc w:val="center"/>
              <w:rPr>
                <w:szCs w:val="21"/>
              </w:rPr>
            </w:pPr>
            <w:r>
              <w:rPr>
                <w:rFonts w:hint="eastAsia"/>
                <w:szCs w:val="21"/>
              </w:rPr>
              <w:t xml:space="preserve"> </w:t>
            </w:r>
            <w:r>
              <w:rPr>
                <w:szCs w:val="21"/>
              </w:rPr>
              <w:t>2011</w:t>
            </w:r>
            <w:r>
              <w:rPr>
                <w:rFonts w:hint="eastAsia"/>
                <w:szCs w:val="21"/>
              </w:rPr>
              <w:t xml:space="preserve">年 </w:t>
            </w:r>
            <w:r>
              <w:rPr>
                <w:szCs w:val="21"/>
              </w:rPr>
              <w:t>7</w:t>
            </w:r>
            <w:r>
              <w:rPr>
                <w:rFonts w:hint="eastAsia"/>
                <w:szCs w:val="21"/>
              </w:rPr>
              <w:t xml:space="preserve"> 月— 至今</w:t>
            </w:r>
          </w:p>
        </w:tc>
        <w:tc>
          <w:tcPr>
            <w:tcW w:w="3265" w:type="dxa"/>
            <w:gridSpan w:val="8"/>
          </w:tcPr>
          <w:p>
            <w:pPr>
              <w:widowControl/>
              <w:jc w:val="center"/>
              <w:rPr>
                <w:rFonts w:ascii="宋体" w:hAnsi="宋体" w:cs="Arial"/>
                <w:color w:val="000000"/>
                <w:kern w:val="0"/>
                <w:szCs w:val="21"/>
              </w:rPr>
            </w:pPr>
            <w:r>
              <w:rPr>
                <w:rFonts w:hint="eastAsia" w:ascii="宋体" w:hAnsi="宋体" w:cs="Arial"/>
                <w:color w:val="000000"/>
                <w:kern w:val="0"/>
                <w:szCs w:val="21"/>
              </w:rPr>
              <w:t>海南师范大学</w:t>
            </w:r>
          </w:p>
        </w:tc>
        <w:tc>
          <w:tcPr>
            <w:tcW w:w="2410" w:type="dxa"/>
            <w:gridSpan w:val="7"/>
          </w:tcPr>
          <w:p>
            <w:pPr>
              <w:widowControl/>
              <w:jc w:val="center"/>
              <w:rPr>
                <w:rFonts w:ascii="宋体" w:hAnsi="宋体" w:cs="Arial"/>
                <w:color w:val="000000"/>
                <w:kern w:val="0"/>
                <w:szCs w:val="21"/>
              </w:rPr>
            </w:pPr>
            <w:r>
              <w:rPr>
                <w:rFonts w:hint="eastAsia" w:ascii="宋体" w:hAnsi="宋体" w:cs="Arial"/>
                <w:color w:val="000000"/>
                <w:kern w:val="0"/>
                <w:szCs w:val="21"/>
              </w:rPr>
              <w:t>实验室及大型仪器设备管理</w:t>
            </w:r>
          </w:p>
        </w:tc>
        <w:tc>
          <w:tcPr>
            <w:tcW w:w="1701" w:type="dxa"/>
            <w:gridSpan w:val="4"/>
          </w:tcPr>
          <w:p>
            <w:pPr>
              <w:widowControl/>
              <w:jc w:val="center"/>
              <w:rPr>
                <w:rFonts w:ascii="宋体" w:hAnsi="宋体" w:cs="Arial"/>
                <w:color w:val="000000"/>
                <w:kern w:val="0"/>
                <w:szCs w:val="21"/>
              </w:rPr>
            </w:pPr>
            <w:r>
              <w:rPr>
                <w:rFonts w:hint="eastAsia" w:ascii="宋体" w:hAnsi="宋体" w:cs="Arial"/>
                <w:color w:val="000000"/>
                <w:kern w:val="0"/>
                <w:szCs w:val="21"/>
              </w:rPr>
              <w:t>实验师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gridSpan w:val="4"/>
            <w:vAlign w:val="center"/>
          </w:tcPr>
          <w:p>
            <w:pPr>
              <w:jc w:val="center"/>
              <w:rPr>
                <w:sz w:val="18"/>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gridSpan w:val="4"/>
            <w:vAlign w:val="center"/>
          </w:tcPr>
          <w:p>
            <w:pPr>
              <w:jc w:val="center"/>
              <w:rPr>
                <w:sz w:val="18"/>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gridSpan w:val="4"/>
            <w:vAlign w:val="center"/>
          </w:tcPr>
          <w:p>
            <w:pPr>
              <w:jc w:val="center"/>
              <w:rPr>
                <w:szCs w:val="21"/>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gridSpan w:val="4"/>
            <w:vAlign w:val="center"/>
          </w:tcPr>
          <w:p>
            <w:pPr>
              <w:jc w:val="center"/>
              <w:rPr>
                <w:sz w:val="18"/>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pPr>
              <w:jc w:val="center"/>
              <w:rPr>
                <w:sz w:val="18"/>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pPr>
              <w:jc w:val="center"/>
              <w:rPr>
                <w:szCs w:val="21"/>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405" w:type="dxa"/>
            <w:gridSpan w:val="4"/>
            <w:vAlign w:val="center"/>
          </w:tcPr>
          <w:p>
            <w:pPr>
              <w:jc w:val="center"/>
              <w:rPr>
                <w:sz w:val="18"/>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gridSpan w:val="4"/>
            <w:vAlign w:val="center"/>
          </w:tcPr>
          <w:p>
            <w:pPr>
              <w:jc w:val="center"/>
              <w:rPr>
                <w:szCs w:val="21"/>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2405" w:type="dxa"/>
            <w:gridSpan w:val="4"/>
            <w:vAlign w:val="center"/>
          </w:tcPr>
          <w:p>
            <w:pPr>
              <w:jc w:val="center"/>
              <w:rPr>
                <w:sz w:val="18"/>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gridSpan w:val="4"/>
            <w:vAlign w:val="center"/>
          </w:tcPr>
          <w:p>
            <w:pPr>
              <w:jc w:val="center"/>
              <w:rPr>
                <w:sz w:val="18"/>
              </w:rPr>
            </w:pPr>
            <w:r>
              <w:rPr>
                <w:rFonts w:hint="eastAsia"/>
                <w:szCs w:val="21"/>
              </w:rPr>
              <w:t xml:space="preserve"> 年   月—   年   月</w:t>
            </w:r>
          </w:p>
        </w:tc>
        <w:tc>
          <w:tcPr>
            <w:tcW w:w="3265" w:type="dxa"/>
            <w:gridSpan w:val="8"/>
          </w:tcPr>
          <w:p>
            <w:pPr>
              <w:rPr>
                <w:sz w:val="18"/>
              </w:rPr>
            </w:pPr>
          </w:p>
        </w:tc>
        <w:tc>
          <w:tcPr>
            <w:tcW w:w="2410" w:type="dxa"/>
            <w:gridSpan w:val="7"/>
          </w:tcPr>
          <w:p>
            <w:pPr>
              <w:rPr>
                <w:sz w:val="18"/>
              </w:rPr>
            </w:pPr>
          </w:p>
        </w:tc>
        <w:tc>
          <w:tcPr>
            <w:tcW w:w="1701" w:type="dxa"/>
            <w:gridSpan w:val="4"/>
          </w:tcPr>
          <w:p>
            <w:pPr>
              <w:rPr>
                <w:sz w:val="18"/>
              </w:rPr>
            </w:pPr>
          </w:p>
        </w:tc>
      </w:tr>
    </w:tbl>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tblPrEx>
          <w:tblCellMar>
            <w:top w:w="0" w:type="dxa"/>
            <w:left w:w="108" w:type="dxa"/>
            <w:bottom w:w="0" w:type="dxa"/>
            <w:right w:w="108" w:type="dxa"/>
          </w:tblCellMar>
        </w:tblPrEx>
        <w:trPr>
          <w:trHeight w:val="3759"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color w:val="000000"/>
                <w:kern w:val="0"/>
                <w:szCs w:val="21"/>
              </w:rPr>
            </w:pPr>
            <w:r>
              <w:rPr>
                <w:rFonts w:hint="eastAsia" w:ascii="宋体" w:hAnsi="宋体" w:cs="Arial"/>
                <w:color w:val="000000"/>
                <w:kern w:val="0"/>
                <w:szCs w:val="21"/>
              </w:rPr>
              <w:t xml:space="preserve"> </w:t>
            </w:r>
            <w:r>
              <w:rPr>
                <w:rFonts w:ascii="宋体" w:hAnsi="宋体" w:cs="Arial"/>
                <w:color w:val="000000"/>
                <w:kern w:val="0"/>
                <w:szCs w:val="21"/>
              </w:rPr>
              <w:t xml:space="preserve">   </w:t>
            </w:r>
            <w:r>
              <w:rPr>
                <w:rFonts w:hint="eastAsia" w:ascii="宋体" w:hAnsi="宋体" w:cs="Arial"/>
                <w:color w:val="000000"/>
                <w:kern w:val="0"/>
                <w:szCs w:val="21"/>
              </w:rPr>
              <w:t>徐志霞同志拥护中国共产党的领导，忠诚党的教育事业，爱岗敬业，处处严格要求自己。在工作中具有强烈的事业心和高度的责任感，工作勤恳，任劳任怨，积极参加集体活动和学院建设。，以学生为本，教风端正，为人师表，具有良好的职业道德和敬业精神；治学严谨，诚实守信，无违反师德师风规范行为，无学术不良行为。</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2</w:t>
            </w:r>
            <w:r>
              <w:rPr>
                <w:rFonts w:ascii="宋体" w:hAnsi="宋体" w:cs="Arial"/>
                <w:color w:val="000000"/>
                <w:kern w:val="0"/>
                <w:szCs w:val="21"/>
              </w:rPr>
              <w:t>014</w:t>
            </w:r>
            <w:r>
              <w:rPr>
                <w:rFonts w:hint="eastAsia" w:ascii="宋体" w:hAnsi="宋体" w:cs="Arial"/>
                <w:color w:val="000000"/>
                <w:kern w:val="0"/>
                <w:szCs w:val="21"/>
              </w:rPr>
              <w:t>年，合格；2</w:t>
            </w:r>
            <w:r>
              <w:rPr>
                <w:rFonts w:ascii="宋体" w:hAnsi="宋体" w:cs="Arial"/>
                <w:color w:val="000000"/>
                <w:kern w:val="0"/>
                <w:szCs w:val="21"/>
              </w:rPr>
              <w:t>015</w:t>
            </w:r>
            <w:r>
              <w:rPr>
                <w:rFonts w:hint="eastAsia" w:ascii="宋体" w:hAnsi="宋体" w:cs="Arial"/>
                <w:color w:val="000000"/>
                <w:kern w:val="0"/>
                <w:szCs w:val="21"/>
              </w:rPr>
              <w:t>年，合格；2</w:t>
            </w:r>
            <w:r>
              <w:rPr>
                <w:rFonts w:ascii="宋体" w:hAnsi="宋体" w:cs="Arial"/>
                <w:color w:val="000000"/>
                <w:kern w:val="0"/>
                <w:szCs w:val="21"/>
              </w:rPr>
              <w:t>016</w:t>
            </w:r>
            <w:r>
              <w:rPr>
                <w:rFonts w:hint="eastAsia" w:ascii="宋体" w:hAnsi="宋体" w:cs="Arial"/>
                <w:color w:val="000000"/>
                <w:kern w:val="0"/>
                <w:szCs w:val="21"/>
              </w:rPr>
              <w:t>年，合格；2</w:t>
            </w:r>
            <w:r>
              <w:rPr>
                <w:rFonts w:ascii="宋体" w:hAnsi="宋体" w:cs="Arial"/>
                <w:color w:val="000000"/>
                <w:kern w:val="0"/>
                <w:szCs w:val="21"/>
              </w:rPr>
              <w:t>017</w:t>
            </w:r>
            <w:r>
              <w:rPr>
                <w:rFonts w:hint="eastAsia" w:ascii="宋体" w:hAnsi="宋体" w:cs="Arial"/>
                <w:color w:val="000000"/>
                <w:kern w:val="0"/>
                <w:szCs w:val="21"/>
              </w:rPr>
              <w:t>年，合格；2</w:t>
            </w:r>
            <w:r>
              <w:rPr>
                <w:rFonts w:ascii="宋体" w:hAnsi="宋体" w:cs="Arial"/>
                <w:color w:val="000000"/>
                <w:kern w:val="0"/>
                <w:szCs w:val="21"/>
              </w:rPr>
              <w:t>018</w:t>
            </w:r>
            <w:r>
              <w:rPr>
                <w:rFonts w:hint="eastAsia" w:ascii="宋体" w:hAnsi="宋体" w:cs="Arial"/>
                <w:color w:val="000000"/>
                <w:kern w:val="0"/>
                <w:szCs w:val="21"/>
              </w:rPr>
              <w:t>年，合格；2</w:t>
            </w:r>
            <w:r>
              <w:rPr>
                <w:rFonts w:ascii="宋体" w:hAnsi="宋体" w:cs="Arial"/>
                <w:color w:val="000000"/>
                <w:kern w:val="0"/>
                <w:szCs w:val="21"/>
              </w:rPr>
              <w:t>019</w:t>
            </w:r>
            <w:r>
              <w:rPr>
                <w:rFonts w:hint="eastAsia" w:ascii="宋体" w:hAnsi="宋体" w:cs="Arial"/>
                <w:color w:val="000000"/>
                <w:kern w:val="0"/>
                <w:szCs w:val="21"/>
              </w:rPr>
              <w:t>年，合格；2</w:t>
            </w:r>
            <w:r>
              <w:rPr>
                <w:rFonts w:ascii="宋体" w:hAnsi="宋体" w:cs="Arial"/>
                <w:color w:val="000000"/>
                <w:kern w:val="0"/>
                <w:szCs w:val="21"/>
              </w:rPr>
              <w:t>020</w:t>
            </w:r>
            <w:r>
              <w:rPr>
                <w:rFonts w:hint="eastAsia" w:ascii="宋体" w:hAnsi="宋体" w:cs="Arial"/>
                <w:color w:val="000000"/>
                <w:kern w:val="0"/>
                <w:szCs w:val="21"/>
              </w:rPr>
              <w:t>年，优秀；2</w:t>
            </w:r>
            <w:r>
              <w:rPr>
                <w:rFonts w:ascii="宋体" w:hAnsi="宋体" w:cs="Arial"/>
                <w:color w:val="000000"/>
                <w:kern w:val="0"/>
                <w:szCs w:val="21"/>
              </w:rPr>
              <w:t>021</w:t>
            </w:r>
            <w:r>
              <w:rPr>
                <w:rFonts w:hint="eastAsia" w:ascii="宋体" w:hAnsi="宋体" w:cs="Arial"/>
                <w:color w:val="000000"/>
                <w:kern w:val="0"/>
                <w:szCs w:val="21"/>
              </w:rPr>
              <w:t>年，合格；2</w:t>
            </w:r>
            <w:r>
              <w:rPr>
                <w:rFonts w:ascii="宋体" w:hAnsi="宋体" w:cs="Arial"/>
                <w:color w:val="000000"/>
                <w:kern w:val="0"/>
                <w:szCs w:val="21"/>
              </w:rPr>
              <w:t>022</w:t>
            </w:r>
            <w:r>
              <w:rPr>
                <w:rFonts w:hint="eastAsia" w:ascii="宋体" w:hAnsi="宋体" w:cs="Arial"/>
                <w:color w:val="000000"/>
                <w:kern w:val="0"/>
                <w:szCs w:val="21"/>
              </w:rPr>
              <w:t>年，合格</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近三年师德考核结论</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rPr>
              <w:t>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 xml:space="preserve">因            </w:t>
            </w:r>
            <w:r>
              <w:rPr>
                <w:rFonts w:ascii="宋体" w:hAnsi="宋体" w:cs="Arial"/>
                <w:color w:val="000000"/>
                <w:kern w:val="0"/>
                <w:szCs w:val="21"/>
              </w:rPr>
              <w:t xml:space="preserve">           </w:t>
            </w:r>
            <w:r>
              <w:rPr>
                <w:rFonts w:hint="eastAsia" w:ascii="宋体" w:hAnsi="宋体" w:cs="Arial"/>
                <w:color w:val="000000"/>
                <w:kern w:val="0"/>
                <w:szCs w:val="21"/>
              </w:rPr>
              <w:t xml:space="preserve"> 延迟申请 </w:t>
            </w:r>
            <w:r>
              <w:rPr>
                <w:rFonts w:ascii="宋体" w:hAnsi="宋体" w:cs="Arial"/>
                <w:color w:val="000000"/>
                <w:kern w:val="0"/>
                <w:szCs w:val="21"/>
              </w:rPr>
              <w:t xml:space="preserve"> </w:t>
            </w:r>
            <w:r>
              <w:rPr>
                <w:rFonts w:hint="eastAsia" w:ascii="宋体" w:hAnsi="宋体" w:cs="Arial"/>
                <w:color w:val="000000"/>
                <w:kern w:val="0"/>
                <w:szCs w:val="21"/>
              </w:rPr>
              <w:t>年。</w:t>
            </w:r>
          </w:p>
        </w:tc>
      </w:tr>
    </w:tbl>
    <w:p/>
    <w:p>
      <w:pPr>
        <w:widowControl/>
        <w:jc w:val="left"/>
      </w:pPr>
    </w:p>
    <w:tbl>
      <w:tblPr>
        <w:tblStyle w:val="6"/>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45"/>
        <w:gridCol w:w="90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5000" w:type="pct"/>
            <w:gridSpan w:val="2"/>
            <w:tcBorders>
              <w:bottom w:val="single" w:color="auto" w:sz="4" w:space="0"/>
            </w:tcBorders>
            <w:vAlign w:val="center"/>
          </w:tcPr>
          <w:p>
            <w:pPr>
              <w:jc w:val="center"/>
              <w:rPr>
                <w:b/>
              </w:rPr>
            </w:pPr>
            <w:r>
              <w:rPr>
                <w:rFonts w:hint="eastAsia"/>
                <w:b/>
              </w:rPr>
              <w:t>业务条件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20" w:hRule="atLeast"/>
        </w:trPr>
        <w:tc>
          <w:tcPr>
            <w:tcW w:w="429" w:type="pct"/>
            <w:tcBorders>
              <w:top w:val="single" w:color="auto" w:sz="4" w:space="0"/>
            </w:tcBorders>
            <w:vAlign w:val="center"/>
          </w:tcPr>
          <w:p>
            <w:pPr>
              <w:jc w:val="center"/>
            </w:pPr>
            <w:r>
              <w:rPr>
                <w:rFonts w:hint="eastAsia"/>
              </w:rPr>
              <w:t>业务条件（1）情况</w:t>
            </w:r>
          </w:p>
        </w:tc>
        <w:tc>
          <w:tcPr>
            <w:tcW w:w="4571" w:type="pct"/>
            <w:tcBorders>
              <w:top w:val="single" w:color="auto" w:sz="4" w:space="0"/>
            </w:tcBorders>
          </w:tcPr>
          <w:p>
            <w:pPr>
              <w:ind w:firstLine="420" w:firstLineChars="200"/>
              <w:rPr>
                <w:rFonts w:ascii="宋体" w:hAnsi="宋体" w:cs="Arial"/>
                <w:color w:val="000000"/>
                <w:kern w:val="0"/>
                <w:szCs w:val="21"/>
              </w:rPr>
            </w:pPr>
            <w:r>
              <w:rPr>
                <w:rFonts w:hint="eastAsia" w:ascii="宋体" w:hAnsi="宋体" w:cs="Arial"/>
                <w:color w:val="000000"/>
                <w:kern w:val="0"/>
                <w:szCs w:val="21"/>
              </w:rPr>
              <w:t>本人具有本专业系统而坚实的理论基础，熟悉本专业国内外的实验技术现状和发展趋势，积极参加大型仪器设备等实验技术的培训，提升自己的专业技术水平。数次担任海南省中学生物教师的培训及中学生生物实验技能竞赛的命题及组织工作，具备组织和指导大型实验技术工作的能力。</w:t>
            </w:r>
          </w:p>
          <w:p>
            <w:pPr>
              <w:ind w:firstLine="420" w:firstLineChars="200"/>
              <w:rPr>
                <w:rFonts w:ascii="宋体" w:hAnsi="宋体" w:cs="Arial"/>
                <w:color w:val="000000"/>
                <w:kern w:val="0"/>
                <w:szCs w:val="21"/>
              </w:rPr>
            </w:pPr>
            <w:r>
              <w:rPr>
                <w:rFonts w:hint="eastAsia" w:ascii="宋体" w:hAnsi="宋体" w:cs="Arial"/>
                <w:color w:val="000000"/>
                <w:kern w:val="0"/>
                <w:szCs w:val="21"/>
              </w:rPr>
              <w:t>自2</w:t>
            </w:r>
            <w:r>
              <w:rPr>
                <w:rFonts w:ascii="宋体" w:hAnsi="宋体" w:cs="Arial"/>
                <w:color w:val="000000"/>
                <w:kern w:val="0"/>
                <w:szCs w:val="21"/>
              </w:rPr>
              <w:t>011</w:t>
            </w:r>
            <w:r>
              <w:rPr>
                <w:rFonts w:hint="eastAsia" w:ascii="宋体" w:hAnsi="宋体" w:cs="Arial"/>
                <w:color w:val="000000"/>
                <w:kern w:val="0"/>
                <w:szCs w:val="21"/>
              </w:rPr>
              <w:t>年入职以来即承担《生物化学实验》、《生物化学技术》的教学工作，在教学过程中积极探索生物化学实验的改革，申请并获得2项校级教学改革项目。</w:t>
            </w:r>
            <w:r>
              <w:rPr>
                <w:rFonts w:hint="eastAsia"/>
                <w:szCs w:val="21"/>
              </w:rPr>
              <w:t>结合学生的科研兴趣，以小组项目的方式串联生物化学实验的各项实验技术，使学生不仅掌握了基本的实验技术操作，同时能够更加灵活的运用到科学研究中，促进了学生创新能力的培养。摒弃传统的碱性磷酸酶等实验材料，教研组引入重组荧光蛋白，另外，通过多次摸索，将纸层析实验中的正丁醇和异戊醇换为乙醇，起到了更好的教学效果。相关教改成果发表在《实验技术与管理》和《实验室研究</w:t>
            </w:r>
            <w:r>
              <w:rPr>
                <w:rFonts w:hint="eastAsia" w:ascii="宋体" w:hAnsi="宋体" w:cs="Arial"/>
                <w:color w:val="000000"/>
                <w:kern w:val="0"/>
                <w:szCs w:val="21"/>
              </w:rPr>
              <w:t>与探索》上，本人为第一作者。</w:t>
            </w:r>
          </w:p>
          <w:p>
            <w:pPr>
              <w:ind w:firstLine="420" w:firstLineChars="200"/>
              <w:rPr>
                <w:rFonts w:ascii="宋体" w:hAnsi="宋体" w:cs="Arial"/>
                <w:color w:val="000000"/>
                <w:kern w:val="0"/>
                <w:szCs w:val="21"/>
              </w:rPr>
            </w:pPr>
            <w:r>
              <w:rPr>
                <w:rFonts w:hint="eastAsia" w:ascii="宋体" w:hAnsi="宋体" w:cs="Arial"/>
                <w:color w:val="000000"/>
                <w:kern w:val="0"/>
                <w:szCs w:val="21"/>
              </w:rPr>
              <w:t>指导学生积极参加“大学生创新创业训练计划项目”，获得省级2项，校级1项，通过项目的研究，学生在实验技能和创新能力方面获得显著的提升</w:t>
            </w:r>
          </w:p>
          <w:p>
            <w:pPr>
              <w:ind w:firstLine="420" w:firstLineChars="200"/>
              <w:rPr>
                <w:rFonts w:ascii="宋体" w:hAnsi="宋体" w:cs="Arial"/>
                <w:color w:val="000000"/>
                <w:kern w:val="0"/>
                <w:szCs w:val="21"/>
              </w:rPr>
            </w:pPr>
          </w:p>
          <w:p>
            <w:pPr>
              <w:ind w:firstLine="420" w:firstLineChars="200"/>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83" w:hRule="atLeast"/>
        </w:trPr>
        <w:tc>
          <w:tcPr>
            <w:tcW w:w="429" w:type="pct"/>
            <w:vAlign w:val="center"/>
          </w:tcPr>
          <w:p>
            <w:pPr>
              <w:jc w:val="center"/>
            </w:pPr>
            <w:r>
              <w:rPr>
                <w:rFonts w:hint="eastAsia"/>
              </w:rPr>
              <w:t>业务条件（2）情况</w:t>
            </w:r>
          </w:p>
        </w:tc>
        <w:tc>
          <w:tcPr>
            <w:tcW w:w="4571" w:type="pct"/>
          </w:tcPr>
          <w:p>
            <w:r>
              <w:rPr>
                <w:rFonts w:hint="eastAsia"/>
              </w:rPr>
              <w:t xml:space="preserve"> </w:t>
            </w:r>
            <w:r>
              <w:t xml:space="preserve">   </w:t>
            </w:r>
            <w:r>
              <w:rPr>
                <w:rFonts w:hint="eastAsia"/>
              </w:rPr>
              <w:t>2</w:t>
            </w:r>
            <w:r>
              <w:t>011</w:t>
            </w:r>
            <w:r>
              <w:rPr>
                <w:rFonts w:hint="eastAsia"/>
              </w:rPr>
              <w:t>年起分管生物化学实验室、基础化学实验室、公共仪器室等，协助实验中心建立并完善了实验室的各项规章制度，引进膜浓缩、镍离子螯合亲和层析技术，完善生物化学实验的教学，逐步完善生物化学实验室的仪器设备配套，建立起规范、功能齐备的生物化学实验室。</w:t>
            </w:r>
          </w:p>
          <w:p>
            <w:pPr>
              <w:ind w:firstLine="430"/>
            </w:pPr>
            <w:r>
              <w:rPr>
                <w:rFonts w:hint="eastAsia"/>
              </w:rPr>
              <w:t>充分做好荧光定量P</w:t>
            </w:r>
            <w:r>
              <w:t>CR</w:t>
            </w:r>
            <w:r>
              <w:rPr>
                <w:rFonts w:hint="eastAsia"/>
              </w:rPr>
              <w:t>仪、自动化数字P</w:t>
            </w:r>
            <w:r>
              <w:t>CR</w:t>
            </w:r>
            <w:r>
              <w:rPr>
                <w:rFonts w:hint="eastAsia"/>
              </w:rPr>
              <w:t>仪、层析系统、流式细胞仪、酶标仪、冷冻切片机等大型仪器设备的运行、维护、使用及技术支持，积极服务师生的科研测试工作。</w:t>
            </w:r>
            <w:r>
              <w:rPr>
                <w:rFonts w:hint="eastAsia"/>
                <w:szCs w:val="21"/>
              </w:rPr>
              <w:t>积极拓展仪器的功能，增加酶标仪的滤光片等，以便仪器的功能得到最大化利用等。</w:t>
            </w:r>
          </w:p>
          <w:p>
            <w:pPr>
              <w:ind w:firstLine="430"/>
              <w:rPr>
                <w:rFonts w:ascii="宋体" w:hAnsi="宋体" w:cs="Arial"/>
                <w:color w:val="000000"/>
                <w:kern w:val="0"/>
                <w:szCs w:val="21"/>
              </w:rPr>
            </w:pPr>
            <w:r>
              <w:rPr>
                <w:rFonts w:hint="eastAsia"/>
              </w:rPr>
              <w:t>在生物化学实验的教学工作方面，</w:t>
            </w:r>
            <w:r>
              <w:rPr>
                <w:rFonts w:hint="eastAsia" w:ascii="宋体" w:hAnsi="宋体" w:cs="Arial"/>
                <w:color w:val="000000"/>
                <w:kern w:val="0"/>
                <w:szCs w:val="21"/>
              </w:rPr>
              <w:t>负责撰写了2</w:t>
            </w:r>
            <w:r>
              <w:rPr>
                <w:rFonts w:ascii="宋体" w:hAnsi="宋体" w:cs="Arial"/>
                <w:color w:val="000000"/>
                <w:kern w:val="0"/>
                <w:szCs w:val="21"/>
              </w:rPr>
              <w:t>016</w:t>
            </w:r>
            <w:r>
              <w:rPr>
                <w:rFonts w:hint="eastAsia" w:ascii="宋体" w:hAnsi="宋体" w:cs="Arial"/>
                <w:color w:val="000000"/>
                <w:kern w:val="0"/>
                <w:szCs w:val="21"/>
              </w:rPr>
              <w:t>版和2</w:t>
            </w:r>
            <w:r>
              <w:rPr>
                <w:rFonts w:ascii="宋体" w:hAnsi="宋体" w:cs="Arial"/>
                <w:color w:val="000000"/>
                <w:kern w:val="0"/>
                <w:szCs w:val="21"/>
              </w:rPr>
              <w:t>019</w:t>
            </w:r>
            <w:r>
              <w:rPr>
                <w:rFonts w:hint="eastAsia" w:ascii="宋体" w:hAnsi="宋体" w:cs="Arial"/>
                <w:color w:val="000000"/>
                <w:kern w:val="0"/>
                <w:szCs w:val="21"/>
              </w:rPr>
              <w:t>版《生物化学实验》以及《生物化学技术》实验部分的教学大纲，对生物化学实验教研小组成员的培养做出了积极的指导。</w:t>
            </w:r>
          </w:p>
          <w:p>
            <w:pPr>
              <w:snapToGrid w:val="0"/>
              <w:spacing w:line="360" w:lineRule="auto"/>
              <w:ind w:firstLine="420" w:firstLineChars="200"/>
              <w:contextualSpacing/>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9" w:hRule="atLeast"/>
        </w:trPr>
        <w:tc>
          <w:tcPr>
            <w:tcW w:w="429" w:type="pct"/>
            <w:tcBorders>
              <w:bottom w:val="single" w:color="auto" w:sz="4" w:space="0"/>
            </w:tcBorders>
            <w:vAlign w:val="center"/>
          </w:tcPr>
          <w:p>
            <w:pPr>
              <w:jc w:val="center"/>
            </w:pPr>
            <w:r>
              <w:rPr>
                <w:rFonts w:hint="eastAsia"/>
              </w:rPr>
              <w:t>业务条件（3）情况（如有教学明细填入下表）</w:t>
            </w:r>
          </w:p>
        </w:tc>
        <w:tc>
          <w:tcPr>
            <w:tcW w:w="4571" w:type="pct"/>
            <w:tcBorders>
              <w:bottom w:val="single" w:color="auto" w:sz="4" w:space="0"/>
            </w:tcBorders>
          </w:tcPr>
          <w:p>
            <w:pPr>
              <w:ind w:firstLine="430"/>
              <w:rPr>
                <w:szCs w:val="21"/>
              </w:rPr>
            </w:pPr>
            <w:r>
              <w:rPr>
                <w:rFonts w:hint="eastAsia"/>
                <w:szCs w:val="21"/>
              </w:rPr>
              <w:t>讲授全日制本科生的《生物化学实验》和《生物化学技术》课程2门，曾承担过生物技术专业的《食品安全检测》，全日制本科生的《有机化学实验》。负责准备全日制本科生实验课程5门，分别为《生物化学实验》《生物化学技术》《食品安全检测》《有机化学实验》以及《基础化学实验》。</w:t>
            </w:r>
          </w:p>
          <w:p>
            <w:pPr>
              <w:ind w:firstLine="430"/>
              <w:rPr>
                <w:szCs w:val="21"/>
              </w:rPr>
            </w:pPr>
            <w:r>
              <w:rPr>
                <w:rFonts w:hint="eastAsia"/>
                <w:szCs w:val="21"/>
              </w:rPr>
              <w:t>除完成所负责实验室及研究室的日常管理工作外，协助实验中心完成教学科研用危险化学药品的申购工作，过期药品及危化品（含废液）的无公害处置工作，实验材料的收集整理工作等。</w:t>
            </w:r>
          </w:p>
          <w:p>
            <w:pPr>
              <w:snapToGrid w:val="0"/>
              <w:spacing w:line="360" w:lineRule="auto"/>
              <w:contextualSpacing/>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11" w:hRule="atLeast"/>
        </w:trPr>
        <w:tc>
          <w:tcPr>
            <w:tcW w:w="429" w:type="pct"/>
            <w:tcBorders>
              <w:top w:val="single" w:color="auto" w:sz="4" w:space="0"/>
              <w:bottom w:val="single" w:color="auto" w:sz="4" w:space="0"/>
            </w:tcBorders>
            <w:vAlign w:val="center"/>
          </w:tcPr>
          <w:p>
            <w:pPr>
              <w:jc w:val="center"/>
            </w:pPr>
            <w:r>
              <w:rPr>
                <w:rFonts w:hint="eastAsia"/>
              </w:rPr>
              <w:t>业务条件（4）情况</w:t>
            </w:r>
          </w:p>
        </w:tc>
        <w:tc>
          <w:tcPr>
            <w:tcW w:w="4571" w:type="pct"/>
            <w:tcBorders>
              <w:top w:val="single" w:color="auto" w:sz="4" w:space="0"/>
              <w:bottom w:val="single" w:color="auto" w:sz="4" w:space="0"/>
            </w:tcBorders>
          </w:tcPr>
          <w:p>
            <w:pPr>
              <w:rPr>
                <w:szCs w:val="21"/>
              </w:rPr>
            </w:pPr>
            <w:r>
              <w:rPr>
                <w:rFonts w:hint="eastAsia"/>
                <w:szCs w:val="21"/>
              </w:rPr>
              <w:t xml:space="preserve"> </w:t>
            </w:r>
            <w:r>
              <w:rPr>
                <w:szCs w:val="21"/>
              </w:rPr>
              <w:t xml:space="preserve">   </w:t>
            </w:r>
            <w:r>
              <w:rPr>
                <w:rFonts w:hint="eastAsia"/>
                <w:szCs w:val="21"/>
              </w:rPr>
              <w:t>本人自任职以来，充分做好生物化学实验室和基础化学实验室的日常管理工作，确保实验教学的顺利开展。承担公共仪器室的大型仪器的管理和日常维护工作，保障师生各项科研工作的顺利开展。服务质量好，综合评价高，申报专业技术职务单位民意测评同意票超过2/3。</w:t>
            </w:r>
          </w:p>
        </w:tc>
      </w:tr>
    </w:tbl>
    <w:p/>
    <w:tbl>
      <w:tblPr>
        <w:tblStyle w:val="5"/>
        <w:tblW w:w="9781" w:type="dxa"/>
        <w:tblInd w:w="108" w:type="dxa"/>
        <w:tblLayout w:type="fixed"/>
        <w:tblCellMar>
          <w:top w:w="0" w:type="dxa"/>
          <w:left w:w="108" w:type="dxa"/>
          <w:bottom w:w="0" w:type="dxa"/>
          <w:right w:w="108" w:type="dxa"/>
        </w:tblCellMar>
      </w:tblPr>
      <w:tblGrid>
        <w:gridCol w:w="1560"/>
        <w:gridCol w:w="3827"/>
        <w:gridCol w:w="2126"/>
        <w:gridCol w:w="709"/>
        <w:gridCol w:w="709"/>
        <w:gridCol w:w="850"/>
      </w:tblGrid>
      <w:tr>
        <w:tblPrEx>
          <w:tblCellMar>
            <w:top w:w="0" w:type="dxa"/>
            <w:left w:w="108" w:type="dxa"/>
            <w:bottom w:w="0" w:type="dxa"/>
            <w:right w:w="108" w:type="dxa"/>
          </w:tblCellMar>
        </w:tblPrEx>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b/>
                <w:szCs w:val="21"/>
              </w:rPr>
              <w:t>业务条件（3）任现职以来教学工作情况</w:t>
            </w:r>
          </w:p>
        </w:tc>
      </w:tr>
      <w:tr>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学年、学期</w:t>
            </w:r>
          </w:p>
        </w:tc>
        <w:tc>
          <w:tcPr>
            <w:tcW w:w="3827" w:type="dxa"/>
            <w:tcBorders>
              <w:top w:val="single" w:color="auto" w:sz="4" w:space="0"/>
              <w:left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0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课堂时数</w:t>
            </w:r>
          </w:p>
        </w:tc>
        <w:tc>
          <w:tcPr>
            <w:tcW w:w="709"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699" w:hRule="atLeast"/>
        </w:trPr>
        <w:tc>
          <w:tcPr>
            <w:tcW w:w="15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017-2018（</w:t>
            </w:r>
            <w:r>
              <w:rPr>
                <w:rFonts w:hint="eastAsia" w:ascii="仿宋_GB2312" w:eastAsia="仿宋_GB2312"/>
                <w:szCs w:val="21"/>
              </w:rPr>
              <w:t>二</w:t>
            </w:r>
            <w:r>
              <w:rPr>
                <w:rFonts w:ascii="仿宋_GB2312" w:eastAsia="仿宋_GB2312"/>
                <w:szCs w:val="21"/>
              </w:rPr>
              <w:t>）</w:t>
            </w:r>
          </w:p>
        </w:tc>
        <w:tc>
          <w:tcPr>
            <w:tcW w:w="3827"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生物化学技术（实验部分）</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016</w:t>
            </w:r>
            <w:r>
              <w:rPr>
                <w:rFonts w:hint="eastAsia" w:ascii="仿宋_GB2312" w:eastAsia="仿宋_GB2312"/>
                <w:szCs w:val="21"/>
              </w:rPr>
              <w:t>生物技术班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694" w:hRule="atLeast"/>
        </w:trPr>
        <w:tc>
          <w:tcPr>
            <w:tcW w:w="15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018-2019（</w:t>
            </w:r>
            <w:r>
              <w:rPr>
                <w:rFonts w:hint="eastAsia" w:ascii="仿宋_GB2312" w:eastAsia="仿宋_GB2312"/>
                <w:szCs w:val="21"/>
              </w:rPr>
              <w:t>二</w:t>
            </w:r>
            <w:r>
              <w:rPr>
                <w:rFonts w:ascii="仿宋_GB2312" w:eastAsia="仿宋_GB2312"/>
                <w:szCs w:val="21"/>
              </w:rPr>
              <w:t>）</w:t>
            </w:r>
          </w:p>
        </w:tc>
        <w:tc>
          <w:tcPr>
            <w:tcW w:w="3827"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生物化学技术（实验部分）</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017</w:t>
            </w:r>
            <w:r>
              <w:rPr>
                <w:rFonts w:hint="eastAsia" w:ascii="仿宋_GB2312" w:eastAsia="仿宋_GB2312"/>
                <w:szCs w:val="21"/>
              </w:rPr>
              <w:t>生物技术班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30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704" w:hRule="atLeast"/>
        </w:trPr>
        <w:tc>
          <w:tcPr>
            <w:tcW w:w="15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019-2020（</w:t>
            </w:r>
            <w:r>
              <w:rPr>
                <w:rFonts w:hint="eastAsia" w:ascii="仿宋_GB2312" w:eastAsia="仿宋_GB2312"/>
                <w:szCs w:val="21"/>
              </w:rPr>
              <w:t>一</w:t>
            </w:r>
            <w:r>
              <w:rPr>
                <w:rFonts w:ascii="仿宋_GB2312" w:eastAsia="仿宋_GB2312"/>
                <w:szCs w:val="21"/>
              </w:rPr>
              <w:t>）</w:t>
            </w:r>
          </w:p>
        </w:tc>
        <w:tc>
          <w:tcPr>
            <w:tcW w:w="3827"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生物化学实验</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018</w:t>
            </w:r>
            <w:r>
              <w:rPr>
                <w:rFonts w:hint="eastAsia" w:ascii="仿宋_GB2312" w:eastAsia="仿宋_GB2312"/>
                <w:szCs w:val="21"/>
              </w:rPr>
              <w:t>生物技术班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30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704" w:hRule="atLeast"/>
        </w:trPr>
        <w:tc>
          <w:tcPr>
            <w:tcW w:w="15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rPr>
            </w:pPr>
            <w:r>
              <w:rPr>
                <w:rFonts w:hint="eastAsia" w:ascii="仿宋_GB2312" w:eastAsia="仿宋_GB2312"/>
                <w:szCs w:val="21"/>
              </w:rPr>
              <w:t>2</w:t>
            </w:r>
            <w:r>
              <w:rPr>
                <w:rFonts w:ascii="仿宋_GB2312" w:eastAsia="仿宋_GB2312"/>
                <w:szCs w:val="21"/>
              </w:rPr>
              <w:t>019-2020（</w:t>
            </w:r>
            <w:r>
              <w:rPr>
                <w:rFonts w:hint="eastAsia" w:ascii="仿宋_GB2312" w:eastAsia="仿宋_GB2312"/>
                <w:szCs w:val="21"/>
              </w:rPr>
              <w:t>二</w:t>
            </w:r>
            <w:r>
              <w:rPr>
                <w:rFonts w:ascii="仿宋_GB2312" w:eastAsia="仿宋_GB2312"/>
                <w:szCs w:val="21"/>
              </w:rPr>
              <w:t>）</w:t>
            </w:r>
          </w:p>
        </w:tc>
        <w:tc>
          <w:tcPr>
            <w:tcW w:w="3827"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仿宋_GB2312" w:eastAsia="仿宋_GB2312"/>
                <w:szCs w:val="21"/>
              </w:rPr>
            </w:pPr>
            <w:r>
              <w:rPr>
                <w:rFonts w:hint="eastAsia" w:ascii="仿宋_GB2312" w:eastAsia="仿宋_GB2312"/>
                <w:szCs w:val="21"/>
              </w:rPr>
              <w:t>生物化学技术（实验部分）</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仿宋_GB2312" w:eastAsia="仿宋_GB2312"/>
                <w:szCs w:val="21"/>
              </w:rPr>
            </w:pPr>
            <w:r>
              <w:rPr>
                <w:rFonts w:hint="eastAsia" w:ascii="仿宋_GB2312" w:eastAsia="仿宋_GB2312"/>
                <w:szCs w:val="21"/>
              </w:rPr>
              <w:t>2</w:t>
            </w:r>
            <w:r>
              <w:rPr>
                <w:rFonts w:ascii="仿宋_GB2312" w:eastAsia="仿宋_GB2312"/>
                <w:szCs w:val="21"/>
              </w:rPr>
              <w:t>018</w:t>
            </w:r>
            <w:r>
              <w:rPr>
                <w:rFonts w:hint="eastAsia" w:ascii="仿宋_GB2312" w:eastAsia="仿宋_GB2312"/>
                <w:szCs w:val="21"/>
              </w:rPr>
              <w:t>生物技术班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ascii="仿宋_GB2312" w:eastAsia="仿宋_GB2312"/>
                <w:szCs w:val="21"/>
              </w:rPr>
              <w:t>26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701" w:hRule="atLeast"/>
        </w:trPr>
        <w:tc>
          <w:tcPr>
            <w:tcW w:w="15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020-2021（</w:t>
            </w:r>
            <w:r>
              <w:rPr>
                <w:rFonts w:hint="eastAsia" w:ascii="仿宋_GB2312" w:eastAsia="仿宋_GB2312"/>
                <w:szCs w:val="21"/>
              </w:rPr>
              <w:t>二</w:t>
            </w:r>
            <w:r>
              <w:rPr>
                <w:rFonts w:ascii="仿宋_GB2312" w:eastAsia="仿宋_GB2312"/>
                <w:szCs w:val="21"/>
              </w:rPr>
              <w:t>）</w:t>
            </w:r>
          </w:p>
        </w:tc>
        <w:tc>
          <w:tcPr>
            <w:tcW w:w="3827"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生物化学实验技术（实验部分）</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019</w:t>
            </w:r>
            <w:r>
              <w:rPr>
                <w:rFonts w:hint="eastAsia" w:ascii="仿宋_GB2312" w:eastAsia="仿宋_GB2312"/>
                <w:szCs w:val="21"/>
              </w:rPr>
              <w:t>生物技术班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w:t>
            </w:r>
            <w:r>
              <w:rPr>
                <w:rFonts w:ascii="仿宋_GB2312" w:eastAsia="仿宋_GB2312"/>
                <w:szCs w:val="21"/>
              </w:rPr>
              <w:t>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eastAsia="仿宋_GB2312"/>
                <w:szCs w:val="21"/>
              </w:rPr>
            </w:pPr>
            <w:r>
              <w:rPr>
                <w:rFonts w:hint="eastAsia" w:ascii="仿宋_GB2312" w:eastAsia="仿宋_GB2312"/>
                <w:szCs w:val="21"/>
              </w:rPr>
              <w:t xml:space="preserve">  </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697" w:hRule="atLeast"/>
        </w:trPr>
        <w:tc>
          <w:tcPr>
            <w:tcW w:w="15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2</w:t>
            </w:r>
            <w:r>
              <w:rPr>
                <w:rFonts w:ascii="仿宋_GB2312" w:eastAsia="仿宋_GB2312"/>
                <w:szCs w:val="21"/>
              </w:rPr>
              <w:t>021-2022（</w:t>
            </w:r>
            <w:r>
              <w:rPr>
                <w:rFonts w:hint="eastAsia" w:ascii="仿宋_GB2312" w:eastAsia="仿宋_GB2312"/>
                <w:szCs w:val="21"/>
              </w:rPr>
              <w:t>二</w:t>
            </w:r>
            <w:r>
              <w:rPr>
                <w:rFonts w:ascii="仿宋_GB2312" w:eastAsia="仿宋_GB2312"/>
                <w:szCs w:val="21"/>
              </w:rPr>
              <w:t>）</w:t>
            </w:r>
          </w:p>
        </w:tc>
        <w:tc>
          <w:tcPr>
            <w:tcW w:w="3827"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生物化学实验</w:t>
            </w: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rPr>
              <w:t>2</w:t>
            </w:r>
            <w:r>
              <w:rPr>
                <w:rFonts w:ascii="仿宋_GB2312" w:eastAsia="仿宋_GB2312"/>
                <w:szCs w:val="21"/>
              </w:rPr>
              <w:t>020</w:t>
            </w:r>
            <w:r>
              <w:rPr>
                <w:rFonts w:hint="eastAsia" w:ascii="仿宋_GB2312" w:eastAsia="仿宋_GB2312"/>
                <w:szCs w:val="21"/>
              </w:rPr>
              <w:t>生物科学</w:t>
            </w:r>
            <w:r>
              <w:rPr>
                <w:rFonts w:ascii="仿宋_GB2312" w:eastAsia="仿宋_GB2312"/>
                <w:szCs w:val="21"/>
              </w:rPr>
              <w:t>1</w:t>
            </w:r>
            <w:r>
              <w:rPr>
                <w:rFonts w:hint="eastAsia" w:ascii="仿宋_GB2312" w:eastAsia="仿宋_GB2312"/>
                <w:szCs w:val="21"/>
              </w:rPr>
              <w:t>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3</w:t>
            </w:r>
            <w:r>
              <w:rPr>
                <w:rFonts w:ascii="仿宋_GB2312" w:eastAsia="仿宋_GB2312"/>
                <w:szCs w:val="21"/>
              </w:rPr>
              <w:t>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697" w:hRule="atLeast"/>
        </w:trPr>
        <w:tc>
          <w:tcPr>
            <w:tcW w:w="15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697" w:hRule="atLeast"/>
        </w:trPr>
        <w:tc>
          <w:tcPr>
            <w:tcW w:w="156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rPr>
            </w:pPr>
          </w:p>
        </w:tc>
        <w:tc>
          <w:tcPr>
            <w:tcW w:w="3827"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仿宋_GB2312" w:eastAsia="仿宋_GB2312"/>
                <w:szCs w:val="21"/>
              </w:rPr>
            </w:pPr>
          </w:p>
        </w:tc>
        <w:tc>
          <w:tcPr>
            <w:tcW w:w="2126"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bl>
    <w:tbl>
      <w:tblPr>
        <w:tblStyle w:val="6"/>
        <w:tblW w:w="9748"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54"/>
        <w:gridCol w:w="81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239" w:hRule="atLeast"/>
        </w:trPr>
        <w:tc>
          <w:tcPr>
            <w:tcW w:w="1554" w:type="dxa"/>
            <w:vAlign w:val="center"/>
          </w:tcPr>
          <w:p>
            <w:pPr>
              <w:jc w:val="center"/>
            </w:pPr>
            <w:r>
              <w:rPr>
                <w:rFonts w:hint="eastAsia"/>
              </w:rPr>
              <w:t>学院审核业务条件情况</w:t>
            </w:r>
          </w:p>
        </w:tc>
        <w:tc>
          <w:tcPr>
            <w:tcW w:w="8194" w:type="dxa"/>
          </w:tcPr>
          <w:p/>
          <w:p/>
          <w:p/>
          <w:p/>
          <w:p/>
          <w:p/>
          <w:p/>
          <w:p>
            <w:r>
              <w:rPr>
                <w:rFonts w:hint="eastAsia"/>
              </w:rPr>
              <w:t>学院负责人签名（盖章）：                    日期：</w:t>
            </w:r>
          </w:p>
        </w:tc>
      </w:tr>
    </w:tbl>
    <w:p>
      <w:pPr>
        <w:widowControl/>
        <w:jc w:val="left"/>
      </w:pPr>
    </w:p>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9"/>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1910" w:type="dxa"/>
            <w:gridSpan w:val="2"/>
            <w:vMerge w:val="restart"/>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tcPr>
          <w:p>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hint="eastAsia" w:ascii="宋体" w:hAnsi="宋体" w:cs="Arial"/>
                <w:color w:val="000000"/>
                <w:kern w:val="0"/>
                <w:szCs w:val="21"/>
              </w:rPr>
              <w:t>主持海南省科协青年人才托举工程暨青年科技英才创新计划项目1项（项目号：Q</w:t>
            </w:r>
            <w:r>
              <w:rPr>
                <w:rFonts w:ascii="宋体" w:hAnsi="宋体" w:cs="Arial"/>
                <w:color w:val="000000"/>
                <w:kern w:val="0"/>
                <w:szCs w:val="21"/>
              </w:rPr>
              <w:t>CXM201905</w:t>
            </w:r>
            <w:r>
              <w:rPr>
                <w:rFonts w:hint="eastAsia" w:ascii="宋体" w:hAnsi="宋体" w:cs="Arial"/>
                <w:color w:val="000000"/>
                <w:kern w:val="0"/>
                <w:szCs w:val="21"/>
              </w:rPr>
              <w:t>）；主持海南省自然科学基金青年基金项目1项（项目号：</w:t>
            </w:r>
            <w:r>
              <w:rPr>
                <w:rFonts w:ascii="宋体" w:hAnsi="宋体" w:cs="Arial"/>
                <w:color w:val="000000"/>
                <w:kern w:val="0"/>
                <w:szCs w:val="21"/>
              </w:rPr>
              <w:t>320QN254</w:t>
            </w:r>
            <w:r>
              <w:rPr>
                <w:rFonts w:hint="eastAsia" w:ascii="宋体" w:hAnsi="宋体" w:cs="Arial"/>
                <w:color w:val="000000"/>
                <w:kern w:val="0"/>
                <w:szCs w:val="21"/>
              </w:rPr>
              <w:t>）</w:t>
            </w:r>
          </w:p>
          <w:p>
            <w:pPr>
              <w:widowControl/>
              <w:jc w:val="left"/>
              <w:rPr>
                <w:rFonts w:ascii="仿宋_GB2312" w:hAnsi="宋体" w:eastAsia="仿宋_GB2312"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r>
              <w:rPr>
                <w:rFonts w:hint="eastAsia" w:ascii="宋体" w:hAnsi="宋体" w:cs="Arial"/>
                <w:color w:val="000000"/>
                <w:kern w:val="0"/>
                <w:szCs w:val="21"/>
              </w:rPr>
              <w:t>以第一作者（或通讯作者）发表论文9 篇，其中A类1篇，B类1篇，</w:t>
            </w:r>
            <w:r>
              <w:rPr>
                <w:rFonts w:ascii="宋体" w:hAnsi="宋体" w:cs="Arial"/>
                <w:color w:val="000000"/>
                <w:kern w:val="0"/>
                <w:szCs w:val="21"/>
              </w:rPr>
              <w:t>C</w:t>
            </w:r>
            <w:r>
              <w:rPr>
                <w:rFonts w:hint="eastAsia" w:ascii="宋体" w:hAnsi="宋体" w:cs="Arial"/>
                <w:color w:val="000000"/>
                <w:kern w:val="0"/>
                <w:szCs w:val="21"/>
              </w:rPr>
              <w:t>类6篇，D类1篇。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2" w:hRule="atLeast"/>
        </w:trPr>
        <w:tc>
          <w:tcPr>
            <w:tcW w:w="1910" w:type="dxa"/>
            <w:gridSpan w:val="2"/>
            <w:vMerge w:val="continue"/>
          </w:tcPr>
          <w:p>
            <w:pPr>
              <w:jc w:val="center"/>
              <w:rPr>
                <w:rFonts w:ascii="宋体" w:hAnsi="宋体" w:cs="Arial"/>
                <w:color w:val="000000"/>
                <w:kern w:val="0"/>
                <w:szCs w:val="21"/>
              </w:rPr>
            </w:pPr>
          </w:p>
        </w:tc>
        <w:tc>
          <w:tcPr>
            <w:tcW w:w="708" w:type="dxa"/>
            <w:tcBorders>
              <w:lef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tcBorders>
          </w:tcPr>
          <w:p>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p>
          <w:p>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p>
          <w:p>
            <w:pPr>
              <w:widowControl/>
              <w:jc w:val="left"/>
              <w:rPr>
                <w:rFonts w:ascii="宋体" w:hAnsi="宋体" w:cs="Arial"/>
                <w:color w:val="000000"/>
                <w:kern w:val="0"/>
                <w:szCs w:val="21"/>
              </w:rPr>
            </w:pPr>
            <w:r>
              <w:rPr>
                <w:rFonts w:ascii="宋体" w:hAnsi="宋体" w:cs="Arial"/>
                <w:color w:val="000000"/>
                <w:kern w:val="0"/>
                <w:szCs w:val="21"/>
              </w:rPr>
              <w:t>③</w:t>
            </w:r>
          </w:p>
          <w:p>
            <w:pPr>
              <w:widowControl/>
              <w:jc w:val="left"/>
              <w:rPr>
                <w:rFonts w:ascii="宋体" w:hAnsi="宋体" w:cs="Arial"/>
                <w:color w:val="000000"/>
                <w:kern w:val="0"/>
                <w:szCs w:val="21"/>
              </w:rPr>
            </w:pPr>
            <w:r>
              <w:rPr>
                <w:rFonts w:hint="eastAsia" w:ascii="宋体" w:hAnsi="宋体" w:cs="Arial"/>
                <w:color w:val="000000"/>
                <w:kern w:val="0"/>
                <w:szCs w:val="21"/>
              </w:rPr>
              <w:t>④以第一完成人获得授权国家发明专利1项（</w:t>
            </w:r>
            <w:r>
              <w:rPr>
                <w:rFonts w:ascii="宋体" w:hAnsi="宋体" w:cs="Arial"/>
                <w:color w:val="000000"/>
                <w:kern w:val="0"/>
                <w:szCs w:val="21"/>
              </w:rPr>
              <w:t>ZL 2021 1 1246045.3</w:t>
            </w:r>
            <w:r>
              <w:rPr>
                <w:rFonts w:hint="eastAsia" w:ascii="宋体" w:hAnsi="宋体" w:cs="Arial"/>
                <w:color w:val="000000"/>
                <w:kern w:val="0"/>
                <w:szCs w:val="21"/>
              </w:rPr>
              <w:t>）。</w:t>
            </w:r>
          </w:p>
          <w:p>
            <w:pPr>
              <w:widowControl/>
              <w:jc w:val="left"/>
              <w:rPr>
                <w:rFonts w:ascii="宋体" w:hAnsi="宋体" w:cs="Arial"/>
                <w:color w:val="000000"/>
                <w:kern w:val="0"/>
                <w:szCs w:val="21"/>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5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⑤</w:t>
            </w:r>
            <w:r>
              <w:rPr>
                <w:rFonts w:ascii="宋体" w:hAnsi="宋体" w:cs="Arial"/>
                <w:color w:val="000000"/>
                <w:kern w:val="0"/>
                <w:szCs w:val="21"/>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eastAsia="宋体"/>
              </w:rPr>
            </w:pPr>
            <w:r>
              <w:rPr>
                <w:rFonts w:hint="eastAsia"/>
              </w:rPr>
              <w:t>序号</w:t>
            </w:r>
          </w:p>
        </w:tc>
        <w:tc>
          <w:tcPr>
            <w:tcW w:w="3584" w:type="dxa"/>
            <w:gridSpan w:val="3"/>
            <w:vAlign w:val="center"/>
          </w:tcPr>
          <w:p>
            <w:pPr>
              <w:jc w:val="center"/>
            </w:pPr>
            <w:r>
              <w:rPr>
                <w:rFonts w:hint="eastAsia"/>
              </w:rPr>
              <w:t>项目名称</w:t>
            </w:r>
          </w:p>
        </w:tc>
        <w:tc>
          <w:tcPr>
            <w:tcW w:w="955" w:type="dxa"/>
            <w:vAlign w:val="center"/>
          </w:tcPr>
          <w:p>
            <w:r>
              <w:rPr>
                <w:rFonts w:hint="eastAsia"/>
              </w:rPr>
              <w:t>批准号</w:t>
            </w:r>
          </w:p>
        </w:tc>
        <w:tc>
          <w:tcPr>
            <w:tcW w:w="1584" w:type="dxa"/>
            <w:vAlign w:val="center"/>
          </w:tcPr>
          <w:p>
            <w:pPr>
              <w:jc w:val="center"/>
            </w:pPr>
            <w:r>
              <w:rPr>
                <w:rFonts w:hint="eastAsia"/>
              </w:rPr>
              <w:t>项目来源</w:t>
            </w:r>
          </w:p>
        </w:tc>
        <w:tc>
          <w:tcPr>
            <w:tcW w:w="722" w:type="dxa"/>
            <w:vAlign w:val="center"/>
          </w:tcPr>
          <w:p>
            <w:pPr>
              <w:rPr>
                <w:rFonts w:eastAsia="宋体"/>
              </w:rPr>
            </w:pPr>
            <w:r>
              <w:rPr>
                <w:rFonts w:hint="eastAsia"/>
              </w:rPr>
              <w:t>立项时间</w:t>
            </w:r>
          </w:p>
        </w:tc>
        <w:tc>
          <w:tcPr>
            <w:tcW w:w="1064" w:type="dxa"/>
            <w:vAlign w:val="center"/>
          </w:tcPr>
          <w:p>
            <w:pPr>
              <w:jc w:val="center"/>
              <w:rPr>
                <w:rFonts w:eastAsia="宋体"/>
              </w:rPr>
            </w:pPr>
            <w:r>
              <w:rPr>
                <w:rFonts w:hint="eastAsia"/>
              </w:rPr>
              <w:t>立项经费（万元）</w:t>
            </w:r>
          </w:p>
        </w:tc>
        <w:tc>
          <w:tcPr>
            <w:tcW w:w="1296" w:type="dxa"/>
            <w:vAlign w:val="center"/>
          </w:tcPr>
          <w:p>
            <w:r>
              <w:rPr>
                <w:rFonts w:hint="eastAsia"/>
              </w:rPr>
              <w:t>是否</w:t>
            </w:r>
          </w:p>
          <w:p>
            <w:pPr>
              <w:rPr>
                <w:rFonts w:eastAsia="宋体"/>
              </w:rPr>
            </w:pPr>
            <w:r>
              <w:rPr>
                <w:rFonts w:hint="eastAsia"/>
              </w:rPr>
              <w:t>主持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r>
              <w:rPr>
                <w:rFonts w:hint="eastAsia"/>
              </w:rPr>
              <w:t>1</w:t>
            </w:r>
          </w:p>
          <w:p/>
        </w:tc>
        <w:tc>
          <w:tcPr>
            <w:tcW w:w="3584" w:type="dxa"/>
            <w:gridSpan w:val="3"/>
            <w:vAlign w:val="center"/>
          </w:tcPr>
          <w:p>
            <w:r>
              <w:rPr>
                <w:rFonts w:hint="eastAsia"/>
              </w:rPr>
              <w:t>基于化感作用的木麻黄植株与内生真菌共生体系的代谢机制研究</w:t>
            </w:r>
          </w:p>
        </w:tc>
        <w:tc>
          <w:tcPr>
            <w:tcW w:w="955" w:type="dxa"/>
            <w:vAlign w:val="center"/>
          </w:tcPr>
          <w:p>
            <w:r>
              <w:rPr>
                <w:rFonts w:hint="eastAsia"/>
              </w:rPr>
              <w:t>Q</w:t>
            </w:r>
            <w:r>
              <w:t>CXM201905</w:t>
            </w:r>
          </w:p>
        </w:tc>
        <w:tc>
          <w:tcPr>
            <w:tcW w:w="1584" w:type="dxa"/>
            <w:vAlign w:val="center"/>
          </w:tcPr>
          <w:p>
            <w:r>
              <w:rPr>
                <w:rFonts w:hint="eastAsia"/>
              </w:rPr>
              <w:t>海南省科协</w:t>
            </w:r>
          </w:p>
        </w:tc>
        <w:tc>
          <w:tcPr>
            <w:tcW w:w="722" w:type="dxa"/>
            <w:vAlign w:val="center"/>
          </w:tcPr>
          <w:p>
            <w:r>
              <w:rPr>
                <w:rFonts w:hint="eastAsia"/>
              </w:rPr>
              <w:t>2</w:t>
            </w:r>
            <w:r>
              <w:t>019.9</w:t>
            </w:r>
          </w:p>
        </w:tc>
        <w:tc>
          <w:tcPr>
            <w:tcW w:w="1064" w:type="dxa"/>
            <w:vAlign w:val="center"/>
          </w:tcPr>
          <w:p>
            <w:r>
              <w:rPr>
                <w:rFonts w:hint="eastAsia"/>
              </w:rPr>
              <w:t>8</w:t>
            </w:r>
          </w:p>
        </w:tc>
        <w:tc>
          <w:tcPr>
            <w:tcW w:w="1296" w:type="dxa"/>
            <w:vAlign w:val="center"/>
          </w:tcPr>
          <w:p>
            <w:r>
              <w:rPr>
                <w:rFonts w:hint="eastAsia"/>
              </w:rPr>
              <w:t>主持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r>
              <w:rPr>
                <w:rFonts w:hint="eastAsia"/>
              </w:rPr>
              <w:t>2</w:t>
            </w:r>
          </w:p>
        </w:tc>
        <w:tc>
          <w:tcPr>
            <w:tcW w:w="3584" w:type="dxa"/>
            <w:gridSpan w:val="3"/>
            <w:vAlign w:val="center"/>
          </w:tcPr>
          <w:p>
            <w:r>
              <w:rPr>
                <w:rFonts w:hint="eastAsia"/>
              </w:rPr>
              <w:t>木麻黄化感物质介导根际微生物组的机制研究</w:t>
            </w:r>
          </w:p>
        </w:tc>
        <w:tc>
          <w:tcPr>
            <w:tcW w:w="955" w:type="dxa"/>
            <w:vAlign w:val="center"/>
          </w:tcPr>
          <w:p>
            <w:r>
              <w:rPr>
                <w:rFonts w:ascii="宋体" w:hAnsi="宋体" w:cs="Arial"/>
                <w:color w:val="000000"/>
                <w:kern w:val="0"/>
                <w:szCs w:val="21"/>
              </w:rPr>
              <w:t>320QN254</w:t>
            </w:r>
          </w:p>
        </w:tc>
        <w:tc>
          <w:tcPr>
            <w:tcW w:w="1584" w:type="dxa"/>
            <w:vAlign w:val="center"/>
          </w:tcPr>
          <w:p>
            <w:r>
              <w:rPr>
                <w:rFonts w:hint="eastAsia"/>
              </w:rPr>
              <w:t>海南省科技厅</w:t>
            </w:r>
          </w:p>
        </w:tc>
        <w:tc>
          <w:tcPr>
            <w:tcW w:w="722" w:type="dxa"/>
            <w:vAlign w:val="center"/>
          </w:tcPr>
          <w:p>
            <w:r>
              <w:rPr>
                <w:rFonts w:hint="eastAsia"/>
              </w:rPr>
              <w:t>2</w:t>
            </w:r>
            <w:r>
              <w:t>020.12.26</w:t>
            </w:r>
          </w:p>
        </w:tc>
        <w:tc>
          <w:tcPr>
            <w:tcW w:w="1064" w:type="dxa"/>
            <w:vAlign w:val="center"/>
          </w:tcPr>
          <w:p>
            <w:r>
              <w:rPr>
                <w:rFonts w:hint="eastAsia"/>
              </w:rPr>
              <w:t>5</w:t>
            </w:r>
          </w:p>
        </w:tc>
        <w:tc>
          <w:tcPr>
            <w:tcW w:w="1296" w:type="dxa"/>
            <w:vAlign w:val="center"/>
          </w:tcPr>
          <w:p>
            <w:r>
              <w:rPr>
                <w:rFonts w:hint="eastAsia"/>
              </w:rPr>
              <w:t>主持</w:t>
            </w:r>
          </w:p>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tc>
        <w:tc>
          <w:tcPr>
            <w:tcW w:w="3584" w:type="dxa"/>
            <w:gridSpan w:val="3"/>
            <w:vAlign w:val="center"/>
          </w:tcPr>
          <w:p/>
        </w:tc>
        <w:tc>
          <w:tcPr>
            <w:tcW w:w="955" w:type="dxa"/>
            <w:vAlign w:val="center"/>
          </w:tcPr>
          <w:p/>
        </w:tc>
        <w:tc>
          <w:tcPr>
            <w:tcW w:w="1584" w:type="dxa"/>
            <w:vAlign w:val="center"/>
          </w:tcPr>
          <w:p/>
        </w:tc>
        <w:tc>
          <w:tcPr>
            <w:tcW w:w="722" w:type="dxa"/>
            <w:vAlign w:val="center"/>
          </w:tcPr>
          <w:p/>
        </w:tc>
        <w:tc>
          <w:tcPr>
            <w:tcW w:w="1064" w:type="dxa"/>
            <w:vAlign w:val="center"/>
          </w:tcPr>
          <w:p/>
        </w:tc>
        <w:tc>
          <w:tcPr>
            <w:tcW w:w="1296" w:type="dxa"/>
            <w:vAlign w:val="center"/>
          </w:tcPr>
          <w:p/>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
        </w:tc>
        <w:tc>
          <w:tcPr>
            <w:tcW w:w="3584" w:type="dxa"/>
            <w:gridSpan w:val="3"/>
            <w:vAlign w:val="center"/>
          </w:tcPr>
          <w:p/>
        </w:tc>
        <w:tc>
          <w:tcPr>
            <w:tcW w:w="955" w:type="dxa"/>
            <w:vAlign w:val="center"/>
          </w:tcPr>
          <w:p/>
        </w:tc>
        <w:tc>
          <w:tcPr>
            <w:tcW w:w="1584" w:type="dxa"/>
            <w:vAlign w:val="center"/>
          </w:tcPr>
          <w:p/>
        </w:tc>
        <w:tc>
          <w:tcPr>
            <w:tcW w:w="722" w:type="dxa"/>
            <w:vAlign w:val="center"/>
          </w:tcPr>
          <w:p/>
        </w:tc>
        <w:tc>
          <w:tcPr>
            <w:tcW w:w="1064" w:type="dxa"/>
            <w:vAlign w:val="center"/>
          </w:tcPr>
          <w:p/>
        </w:tc>
        <w:tc>
          <w:tcPr>
            <w:tcW w:w="1296"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7" w:hRule="atLeast"/>
        </w:trPr>
        <w:tc>
          <w:tcPr>
            <w:tcW w:w="576" w:type="dxa"/>
            <w:vAlign w:val="center"/>
          </w:tcPr>
          <w:p/>
          <w:p/>
        </w:tc>
        <w:tc>
          <w:tcPr>
            <w:tcW w:w="3584" w:type="dxa"/>
            <w:gridSpan w:val="3"/>
            <w:vAlign w:val="center"/>
          </w:tcPr>
          <w:p/>
        </w:tc>
        <w:tc>
          <w:tcPr>
            <w:tcW w:w="955" w:type="dxa"/>
            <w:vAlign w:val="center"/>
          </w:tcPr>
          <w:p/>
        </w:tc>
        <w:tc>
          <w:tcPr>
            <w:tcW w:w="1584" w:type="dxa"/>
            <w:vAlign w:val="center"/>
          </w:tcPr>
          <w:p/>
        </w:tc>
        <w:tc>
          <w:tcPr>
            <w:tcW w:w="722" w:type="dxa"/>
            <w:vAlign w:val="center"/>
          </w:tcPr>
          <w:p/>
        </w:tc>
        <w:tc>
          <w:tcPr>
            <w:tcW w:w="1064" w:type="dxa"/>
            <w:vAlign w:val="center"/>
          </w:tcPr>
          <w:p/>
        </w:tc>
        <w:tc>
          <w:tcPr>
            <w:tcW w:w="1296" w:type="dxa"/>
            <w:vAlign w:val="center"/>
          </w:tcPr>
          <w:p/>
        </w:tc>
      </w:tr>
    </w:tbl>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171"/>
        <w:gridCol w:w="3260"/>
        <w:gridCol w:w="709"/>
        <w:gridCol w:w="850"/>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pPr>
              <w:spacing w:line="240" w:lineRule="exact"/>
              <w:rPr>
                <w:rFonts w:ascii="仿宋_GB2312" w:eastAsia="仿宋_GB2312"/>
                <w:szCs w:val="21"/>
              </w:rPr>
            </w:pPr>
            <w:r>
              <w:rPr>
                <w:rFonts w:hint="eastAsia" w:ascii="仿宋_GB2312" w:eastAsia="仿宋_GB2312"/>
                <w:szCs w:val="21"/>
              </w:rPr>
              <w:t xml:space="preserve">以第一作者（或通信作者）发表论文总数：9   篇，其中：A类 </w:t>
            </w:r>
            <w:r>
              <w:rPr>
                <w:rFonts w:ascii="仿宋_GB2312" w:eastAsia="仿宋_GB2312"/>
                <w:szCs w:val="21"/>
              </w:rPr>
              <w:t>1</w:t>
            </w:r>
            <w:r>
              <w:rPr>
                <w:rFonts w:hint="eastAsia" w:ascii="仿宋_GB2312" w:eastAsia="仿宋_GB2312"/>
                <w:szCs w:val="21"/>
              </w:rPr>
              <w:t xml:space="preserve">  篇，B类1   篇，C类 </w:t>
            </w:r>
            <w:r>
              <w:rPr>
                <w:rFonts w:ascii="仿宋_GB2312" w:eastAsia="仿宋_GB2312"/>
                <w:szCs w:val="21"/>
              </w:rPr>
              <w:t>6</w:t>
            </w:r>
            <w:r>
              <w:rPr>
                <w:rFonts w:hint="eastAsia" w:ascii="仿宋_GB2312" w:eastAsia="仿宋_GB2312"/>
                <w:szCs w:val="21"/>
              </w:rPr>
              <w:t xml:space="preserve"> 篇，D类 </w:t>
            </w:r>
            <w:r>
              <w:rPr>
                <w:rFonts w:ascii="仿宋_GB2312" w:eastAsia="仿宋_GB2312"/>
                <w:szCs w:val="21"/>
              </w:rPr>
              <w:t>1</w:t>
            </w:r>
            <w:r>
              <w:rPr>
                <w:rFonts w:hint="eastAsia" w:ascii="仿宋_GB2312" w:eastAsia="仿宋_GB2312"/>
                <w:szCs w:val="21"/>
              </w:rPr>
              <w:t xml:space="preserve"> 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pPr>
              <w:jc w:val="center"/>
              <w:rPr>
                <w:rFonts w:eastAsia="宋体"/>
              </w:rPr>
            </w:pPr>
            <w:r>
              <w:rPr>
                <w:rFonts w:hint="eastAsia"/>
              </w:rPr>
              <w:t>序号</w:t>
            </w:r>
          </w:p>
        </w:tc>
        <w:tc>
          <w:tcPr>
            <w:tcW w:w="3171"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成果名称</w:t>
            </w:r>
          </w:p>
        </w:tc>
        <w:tc>
          <w:tcPr>
            <w:tcW w:w="3260" w:type="dxa"/>
            <w:vAlign w:val="center"/>
          </w:tcPr>
          <w:p>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pPr>
              <w:widowControl/>
              <w:jc w:val="center"/>
            </w:pPr>
            <w:r>
              <w:rPr>
                <w:rFonts w:hint="eastAsia" w:ascii="宋体" w:hAnsi="宋体" w:cs="Arial"/>
                <w:color w:val="000000"/>
                <w:kern w:val="0"/>
                <w:szCs w:val="21"/>
              </w:rPr>
              <w:t>刊物级别</w:t>
            </w:r>
          </w:p>
        </w:tc>
        <w:tc>
          <w:tcPr>
            <w:tcW w:w="850" w:type="dxa"/>
            <w:vAlign w:val="center"/>
          </w:tcPr>
          <w:p>
            <w:pPr>
              <w:widowControl/>
              <w:jc w:val="center"/>
            </w:pPr>
            <w:r>
              <w:rPr>
                <w:rFonts w:hint="eastAsia"/>
              </w:rPr>
              <w:t>转载</w:t>
            </w:r>
          </w:p>
          <w:p>
            <w:pPr>
              <w:widowControl/>
              <w:jc w:val="center"/>
              <w:rPr>
                <w:rFonts w:eastAsia="宋体"/>
              </w:rPr>
            </w:pPr>
            <w:r>
              <w:rPr>
                <w:rFonts w:hint="eastAsia"/>
              </w:rPr>
              <w:t>情况</w:t>
            </w:r>
          </w:p>
        </w:tc>
        <w:tc>
          <w:tcPr>
            <w:tcW w:w="1276" w:type="dxa"/>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检索证明</w:t>
            </w:r>
          </w:p>
          <w:p>
            <w:pPr>
              <w:widowControl/>
              <w:jc w:val="center"/>
              <w:rPr>
                <w:rFonts w:eastAsia="宋体"/>
              </w:rPr>
            </w:pPr>
            <w:r>
              <w:rPr>
                <w:rFonts w:hint="eastAsia" w:ascii="宋体" w:hAnsi="宋体" w:cs="Arial"/>
                <w:color w:val="000000"/>
                <w:kern w:val="0"/>
                <w:szCs w:val="21"/>
              </w:rPr>
              <w:t>（有或无）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tcPr>
          <w:p>
            <w:pPr>
              <w:jc w:val="center"/>
            </w:pPr>
            <w:r>
              <w:rPr>
                <w:rFonts w:hint="eastAsia"/>
              </w:rPr>
              <w:t>1</w:t>
            </w:r>
          </w:p>
        </w:tc>
        <w:tc>
          <w:tcPr>
            <w:tcW w:w="3171" w:type="dxa"/>
            <w:tcBorders>
              <w:left w:val="single" w:color="auto" w:sz="4" w:space="0"/>
            </w:tcBorders>
          </w:tcPr>
          <w:p>
            <w:pPr>
              <w:widowControl/>
              <w:wordWrap w:val="0"/>
              <w:spacing w:line="300" w:lineRule="atLeast"/>
              <w:rPr>
                <w:rFonts w:ascii="Arial" w:hAnsi="Arial" w:eastAsia="宋体" w:cs="Arial"/>
                <w:color w:val="4F4F4F"/>
                <w:kern w:val="0"/>
                <w:sz w:val="18"/>
                <w:szCs w:val="18"/>
              </w:rPr>
            </w:pPr>
            <w:r>
              <w:rPr>
                <w:rFonts w:ascii="Arial" w:hAnsi="Arial" w:cs="Arial"/>
                <w:color w:val="4F4F4F"/>
                <w:sz w:val="18"/>
                <w:szCs w:val="18"/>
                <w:shd w:val="clear" w:color="auto" w:fill="FFFFFF"/>
              </w:rPr>
              <w:t>Is allelochemical synthesis in Casuarina equisetifolia plantation related to litter microorganisms?</w:t>
            </w:r>
          </w:p>
        </w:tc>
        <w:tc>
          <w:tcPr>
            <w:tcW w:w="3260" w:type="dxa"/>
          </w:tcPr>
          <w:p>
            <w:pPr>
              <w:widowControl/>
              <w:jc w:val="center"/>
              <w:rPr>
                <w:rFonts w:ascii="Arial" w:hAnsi="Arial" w:eastAsia="宋体" w:cs="Arial"/>
                <w:color w:val="4F4F4F"/>
                <w:kern w:val="0"/>
                <w:sz w:val="18"/>
                <w:szCs w:val="18"/>
              </w:rPr>
            </w:pPr>
            <w:r>
              <w:rPr>
                <w:rFonts w:ascii="Arial" w:hAnsi="Arial" w:eastAsia="宋体" w:cs="Arial"/>
                <w:color w:val="4F4F4F"/>
                <w:kern w:val="0"/>
                <w:sz w:val="18"/>
                <w:szCs w:val="18"/>
              </w:rPr>
              <w:t>Frontiers in Plant Science,</w:t>
            </w:r>
          </w:p>
          <w:p>
            <w:pPr>
              <w:widowControl/>
              <w:jc w:val="center"/>
            </w:pPr>
            <w:r>
              <w:rPr>
                <w:rFonts w:hint="eastAsia" w:ascii="Arial" w:hAnsi="Arial" w:eastAsia="宋体" w:cs="Arial"/>
                <w:color w:val="4F4F4F"/>
                <w:kern w:val="0"/>
                <w:sz w:val="18"/>
                <w:szCs w:val="18"/>
              </w:rPr>
              <w:t>2</w:t>
            </w:r>
            <w:r>
              <w:rPr>
                <w:rFonts w:ascii="Arial" w:hAnsi="Arial" w:eastAsia="宋体" w:cs="Arial"/>
                <w:color w:val="4F4F4F"/>
                <w:kern w:val="0"/>
                <w:sz w:val="18"/>
                <w:szCs w:val="18"/>
              </w:rPr>
              <w:t xml:space="preserve">022.10, </w:t>
            </w:r>
            <w:r>
              <w:rPr>
                <w:rFonts w:ascii="Arial" w:hAnsi="Arial" w:cs="Arial"/>
                <w:color w:val="4F4F4F"/>
                <w:sz w:val="18"/>
                <w:szCs w:val="18"/>
                <w:shd w:val="clear" w:color="auto" w:fill="FFFFFF"/>
              </w:rPr>
              <w:t>13:1022984</w:t>
            </w:r>
          </w:p>
        </w:tc>
        <w:tc>
          <w:tcPr>
            <w:tcW w:w="709" w:type="dxa"/>
          </w:tcPr>
          <w:p>
            <w:pPr>
              <w:widowControl/>
              <w:jc w:val="center"/>
            </w:pPr>
            <w:r>
              <w:rPr>
                <w:rFonts w:hint="eastAsia"/>
              </w:rPr>
              <w:t>A</w:t>
            </w:r>
          </w:p>
        </w:tc>
        <w:tc>
          <w:tcPr>
            <w:tcW w:w="850" w:type="dxa"/>
          </w:tcPr>
          <w:p>
            <w:pPr>
              <w:widowControl/>
              <w:jc w:val="center"/>
            </w:pPr>
          </w:p>
        </w:tc>
        <w:tc>
          <w:tcPr>
            <w:tcW w:w="127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tcPr>
          <w:p>
            <w:pPr>
              <w:jc w:val="center"/>
            </w:pPr>
            <w:r>
              <w:rPr>
                <w:rFonts w:hint="eastAsia"/>
              </w:rPr>
              <w:t>2</w:t>
            </w:r>
          </w:p>
        </w:tc>
        <w:tc>
          <w:tcPr>
            <w:tcW w:w="3171" w:type="dxa"/>
            <w:tcBorders>
              <w:left w:val="single" w:color="auto" w:sz="4" w:space="0"/>
            </w:tcBorders>
          </w:tcPr>
          <w:p>
            <w:pPr>
              <w:jc w:val="center"/>
            </w:pPr>
            <w:r>
              <w:rPr>
                <w:rFonts w:ascii="Arial" w:hAnsi="Arial" w:cs="Arial"/>
                <w:color w:val="4F4F4F"/>
                <w:sz w:val="18"/>
                <w:szCs w:val="18"/>
                <w:shd w:val="clear" w:color="auto" w:fill="FFFFFF"/>
              </w:rPr>
              <w:t>Allelopathic effects of Casuarina equisetifolia extracts on seed germination of native tree species</w:t>
            </w:r>
          </w:p>
        </w:tc>
        <w:tc>
          <w:tcPr>
            <w:tcW w:w="3260" w:type="dxa"/>
          </w:tcPr>
          <w:p>
            <w:pPr>
              <w:widowControl/>
              <w:jc w:val="center"/>
            </w:pPr>
            <w:r>
              <w:rPr>
                <w:rFonts w:ascii="Arial" w:hAnsi="Arial" w:eastAsia="宋体" w:cs="Arial"/>
                <w:color w:val="4F4F4F"/>
                <w:kern w:val="0"/>
                <w:sz w:val="18"/>
                <w:szCs w:val="18"/>
              </w:rPr>
              <w:t xml:space="preserve">Allelopathy Journal, 2015.10.16, </w:t>
            </w:r>
            <w:r>
              <w:rPr>
                <w:rFonts w:ascii="Arial" w:hAnsi="Arial" w:cs="Arial"/>
                <w:color w:val="4F4F4F"/>
                <w:sz w:val="18"/>
                <w:szCs w:val="18"/>
                <w:shd w:val="clear" w:color="auto" w:fill="FFFFFF"/>
              </w:rPr>
              <w:t>36(2): 283-292</w:t>
            </w:r>
          </w:p>
        </w:tc>
        <w:tc>
          <w:tcPr>
            <w:tcW w:w="709" w:type="dxa"/>
          </w:tcPr>
          <w:p>
            <w:pPr>
              <w:widowControl/>
              <w:jc w:val="center"/>
            </w:pPr>
            <w:r>
              <w:rPr>
                <w:rFonts w:hint="eastAsia"/>
              </w:rPr>
              <w:t>B</w:t>
            </w:r>
          </w:p>
        </w:tc>
        <w:tc>
          <w:tcPr>
            <w:tcW w:w="850" w:type="dxa"/>
          </w:tcPr>
          <w:p>
            <w:pPr>
              <w:widowControl/>
              <w:jc w:val="center"/>
            </w:pPr>
          </w:p>
        </w:tc>
        <w:tc>
          <w:tcPr>
            <w:tcW w:w="127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tcPr>
          <w:p>
            <w:pPr>
              <w:jc w:val="center"/>
            </w:pPr>
            <w:r>
              <w:rPr>
                <w:rFonts w:hint="eastAsia"/>
              </w:rPr>
              <w:t>3</w:t>
            </w:r>
          </w:p>
        </w:tc>
        <w:tc>
          <w:tcPr>
            <w:tcW w:w="3171" w:type="dxa"/>
            <w:tcBorders>
              <w:left w:val="single" w:color="auto" w:sz="4" w:space="0"/>
            </w:tcBorders>
          </w:tcPr>
          <w:p>
            <w:pPr>
              <w:jc w:val="center"/>
            </w:pPr>
            <w:r>
              <w:rPr>
                <w:rFonts w:ascii="Arial" w:hAnsi="Arial" w:eastAsia="宋体" w:cs="Arial"/>
                <w:color w:val="4F4F4F"/>
                <w:kern w:val="0"/>
                <w:sz w:val="18"/>
                <w:szCs w:val="18"/>
              </w:rPr>
              <w:t>面向应用创新型本科生培养的生物化学实验教学设计 ——以“GFP蛋白的表达分离纯化”为例</w:t>
            </w:r>
          </w:p>
        </w:tc>
        <w:tc>
          <w:tcPr>
            <w:tcW w:w="3260" w:type="dxa"/>
          </w:tcPr>
          <w:p>
            <w:pPr>
              <w:widowControl/>
              <w:jc w:val="center"/>
            </w:pPr>
            <w:r>
              <w:rPr>
                <w:rFonts w:ascii="Arial" w:hAnsi="Arial" w:cs="Arial"/>
                <w:color w:val="4F4F4F"/>
                <w:sz w:val="18"/>
                <w:szCs w:val="18"/>
                <w:shd w:val="clear" w:color="auto" w:fill="FFFFFF"/>
              </w:rPr>
              <w:t>实验室研究与探索</w:t>
            </w:r>
            <w:r>
              <w:rPr>
                <w:rFonts w:ascii="Arial" w:hAnsi="Arial" w:eastAsia="宋体" w:cs="Arial"/>
                <w:color w:val="4F4F4F"/>
                <w:kern w:val="0"/>
                <w:sz w:val="18"/>
                <w:szCs w:val="18"/>
              </w:rPr>
              <w:t>, 2022.1.1, 41(01):226-229+258</w:t>
            </w:r>
          </w:p>
        </w:tc>
        <w:tc>
          <w:tcPr>
            <w:tcW w:w="709" w:type="dxa"/>
          </w:tcPr>
          <w:p>
            <w:pPr>
              <w:widowControl/>
              <w:jc w:val="center"/>
            </w:pPr>
            <w:r>
              <w:rPr>
                <w:rFonts w:hint="eastAsia"/>
              </w:rPr>
              <w:t>C</w:t>
            </w:r>
          </w:p>
        </w:tc>
        <w:tc>
          <w:tcPr>
            <w:tcW w:w="850" w:type="dxa"/>
          </w:tcPr>
          <w:p>
            <w:pPr>
              <w:widowControl/>
              <w:jc w:val="center"/>
            </w:pPr>
          </w:p>
        </w:tc>
        <w:tc>
          <w:tcPr>
            <w:tcW w:w="127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tcPr>
          <w:p>
            <w:pPr>
              <w:jc w:val="center"/>
            </w:pPr>
            <w:r>
              <w:rPr>
                <w:rFonts w:hint="eastAsia"/>
              </w:rPr>
              <w:t>4</w:t>
            </w:r>
          </w:p>
        </w:tc>
        <w:tc>
          <w:tcPr>
            <w:tcW w:w="3171" w:type="dxa"/>
            <w:tcBorders>
              <w:left w:val="single" w:color="auto" w:sz="4" w:space="0"/>
            </w:tcBorders>
          </w:tcPr>
          <w:p>
            <w:pPr>
              <w:jc w:val="center"/>
            </w:pPr>
            <w:r>
              <w:rPr>
                <w:rFonts w:ascii="Arial" w:hAnsi="Arial" w:eastAsia="宋体" w:cs="Arial"/>
                <w:color w:val="4F4F4F"/>
                <w:kern w:val="0"/>
                <w:sz w:val="18"/>
                <w:szCs w:val="18"/>
              </w:rPr>
              <w:t>不同分解程度木麻黄凋落物的养分特征及微生物功能多样性分析</w:t>
            </w:r>
          </w:p>
        </w:tc>
        <w:tc>
          <w:tcPr>
            <w:tcW w:w="3260" w:type="dxa"/>
          </w:tcPr>
          <w:p>
            <w:pPr>
              <w:widowControl/>
              <w:jc w:val="center"/>
            </w:pPr>
            <w:r>
              <w:rPr>
                <w:rFonts w:ascii="Arial" w:hAnsi="Arial" w:cs="Arial"/>
                <w:color w:val="4F4F4F"/>
                <w:sz w:val="18"/>
                <w:szCs w:val="18"/>
                <w:shd w:val="clear" w:color="auto" w:fill="FFFFFF"/>
              </w:rPr>
              <w:t>南京林业大学学报（自然科学版）</w:t>
            </w:r>
            <w:r>
              <w:rPr>
                <w:rFonts w:hint="eastAsia" w:ascii="Arial" w:hAnsi="Arial" w:cs="Arial"/>
                <w:color w:val="4F4F4F"/>
                <w:sz w:val="18"/>
                <w:szCs w:val="18"/>
                <w:shd w:val="clear" w:color="auto" w:fill="FFFFFF"/>
              </w:rPr>
              <w:t>,</w:t>
            </w:r>
            <w:r>
              <w:rPr>
                <w:rFonts w:ascii="Arial" w:hAnsi="Arial" w:cs="Arial"/>
                <w:color w:val="4F4F4F"/>
                <w:sz w:val="18"/>
                <w:szCs w:val="18"/>
                <w:shd w:val="clear" w:color="auto" w:fill="FFFFFF"/>
              </w:rPr>
              <w:t xml:space="preserve"> </w:t>
            </w:r>
            <w:r>
              <w:rPr>
                <w:rFonts w:ascii="Arial" w:hAnsi="Arial" w:eastAsia="宋体" w:cs="Arial"/>
                <w:color w:val="4F4F4F"/>
                <w:kern w:val="0"/>
                <w:sz w:val="18"/>
                <w:szCs w:val="18"/>
              </w:rPr>
              <w:t>2020-03-01, 44卷2期197-206页</w:t>
            </w:r>
          </w:p>
        </w:tc>
        <w:tc>
          <w:tcPr>
            <w:tcW w:w="709" w:type="dxa"/>
          </w:tcPr>
          <w:p>
            <w:pPr>
              <w:widowControl/>
              <w:jc w:val="center"/>
            </w:pPr>
            <w:r>
              <w:rPr>
                <w:rFonts w:hint="eastAsia"/>
              </w:rPr>
              <w:t>C</w:t>
            </w:r>
          </w:p>
        </w:tc>
        <w:tc>
          <w:tcPr>
            <w:tcW w:w="850" w:type="dxa"/>
          </w:tcPr>
          <w:p>
            <w:pPr>
              <w:widowControl/>
              <w:jc w:val="center"/>
            </w:pPr>
          </w:p>
        </w:tc>
        <w:tc>
          <w:tcPr>
            <w:tcW w:w="127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tcPr>
          <w:p>
            <w:pPr>
              <w:jc w:val="center"/>
            </w:pPr>
            <w:r>
              <w:rPr>
                <w:rFonts w:hint="eastAsia"/>
              </w:rPr>
              <w:t>5</w:t>
            </w:r>
          </w:p>
        </w:tc>
        <w:tc>
          <w:tcPr>
            <w:tcW w:w="3171" w:type="dxa"/>
            <w:tcBorders>
              <w:left w:val="single" w:color="auto" w:sz="4" w:space="0"/>
            </w:tcBorders>
          </w:tcPr>
          <w:p>
            <w:pPr>
              <w:jc w:val="center"/>
            </w:pPr>
            <w:r>
              <w:rPr>
                <w:rFonts w:ascii="Arial" w:hAnsi="Arial" w:cs="Arial"/>
                <w:color w:val="4F4F4F"/>
                <w:sz w:val="18"/>
                <w:szCs w:val="18"/>
                <w:shd w:val="clear" w:color="auto" w:fill="FFFFFF"/>
              </w:rPr>
              <w:t>海南不同林龄木麻黄海防林土壤微生物群落组成与酶活性的动态分析</w:t>
            </w:r>
          </w:p>
        </w:tc>
        <w:tc>
          <w:tcPr>
            <w:tcW w:w="3260" w:type="dxa"/>
          </w:tcPr>
          <w:p>
            <w:pPr>
              <w:widowControl/>
              <w:jc w:val="center"/>
            </w:pPr>
            <w:r>
              <w:rPr>
                <w:rFonts w:ascii="Arial" w:hAnsi="Arial" w:cs="Arial"/>
                <w:color w:val="4F4F4F"/>
                <w:sz w:val="18"/>
                <w:szCs w:val="18"/>
                <w:shd w:val="clear" w:color="auto" w:fill="FFFFFF"/>
              </w:rPr>
              <w:t>西北农林科技大学学报（自然科学版）</w:t>
            </w:r>
            <w:r>
              <w:rPr>
                <w:rFonts w:hint="eastAsia" w:ascii="Arial" w:hAnsi="Arial" w:cs="Arial"/>
                <w:color w:val="4F4F4F"/>
                <w:sz w:val="18"/>
                <w:szCs w:val="18"/>
                <w:shd w:val="clear" w:color="auto" w:fill="FFFFFF"/>
              </w:rPr>
              <w:t>,</w:t>
            </w:r>
            <w:r>
              <w:rPr>
                <w:rFonts w:ascii="Arial" w:hAnsi="Arial" w:eastAsia="宋体" w:cs="Arial"/>
                <w:color w:val="4F4F4F"/>
                <w:kern w:val="0"/>
                <w:sz w:val="18"/>
                <w:szCs w:val="18"/>
              </w:rPr>
              <w:t>2018-10-01, 2018年10期</w:t>
            </w:r>
          </w:p>
        </w:tc>
        <w:tc>
          <w:tcPr>
            <w:tcW w:w="709" w:type="dxa"/>
          </w:tcPr>
          <w:p>
            <w:pPr>
              <w:widowControl/>
              <w:jc w:val="center"/>
            </w:pPr>
            <w:r>
              <w:rPr>
                <w:rFonts w:hint="eastAsia"/>
              </w:rPr>
              <w:t>C</w:t>
            </w:r>
          </w:p>
        </w:tc>
        <w:tc>
          <w:tcPr>
            <w:tcW w:w="850" w:type="dxa"/>
          </w:tcPr>
          <w:p>
            <w:pPr>
              <w:widowControl/>
              <w:jc w:val="center"/>
            </w:pPr>
          </w:p>
        </w:tc>
        <w:tc>
          <w:tcPr>
            <w:tcW w:w="127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515" w:type="dxa"/>
            <w:tcBorders>
              <w:right w:val="single" w:color="auto" w:sz="4" w:space="0"/>
            </w:tcBorders>
          </w:tcPr>
          <w:p>
            <w:pPr>
              <w:jc w:val="center"/>
            </w:pPr>
            <w:r>
              <w:rPr>
                <w:rFonts w:hint="eastAsia"/>
              </w:rPr>
              <w:t>6</w:t>
            </w:r>
          </w:p>
        </w:tc>
        <w:tc>
          <w:tcPr>
            <w:tcW w:w="3171" w:type="dxa"/>
            <w:tcBorders>
              <w:left w:val="single" w:color="auto" w:sz="4" w:space="0"/>
            </w:tcBorders>
          </w:tcPr>
          <w:p>
            <w:pPr>
              <w:jc w:val="center"/>
            </w:pPr>
            <w:r>
              <w:rPr>
                <w:rFonts w:ascii="Arial" w:hAnsi="Arial" w:eastAsia="宋体" w:cs="Arial"/>
                <w:color w:val="4F4F4F"/>
                <w:kern w:val="0"/>
                <w:sz w:val="18"/>
                <w:szCs w:val="18"/>
              </w:rPr>
              <w:t>不同林龄木麻黄林地土壤细菌及与土壤因子的相关性分析</w:t>
            </w:r>
          </w:p>
        </w:tc>
        <w:tc>
          <w:tcPr>
            <w:tcW w:w="3260" w:type="dxa"/>
          </w:tcPr>
          <w:p>
            <w:pPr>
              <w:widowControl/>
              <w:jc w:val="center"/>
            </w:pPr>
            <w:r>
              <w:rPr>
                <w:rFonts w:ascii="Arial" w:hAnsi="Arial" w:eastAsia="宋体" w:cs="Arial"/>
                <w:color w:val="4F4F4F"/>
                <w:kern w:val="0"/>
                <w:sz w:val="18"/>
                <w:szCs w:val="18"/>
              </w:rPr>
              <w:t>基因组学与应用生物学</w:t>
            </w:r>
            <w:r>
              <w:rPr>
                <w:rFonts w:hint="eastAsia" w:ascii="Arial" w:hAnsi="Arial" w:eastAsia="宋体" w:cs="Arial"/>
                <w:color w:val="4F4F4F"/>
                <w:kern w:val="0"/>
                <w:sz w:val="18"/>
                <w:szCs w:val="18"/>
              </w:rPr>
              <w:t>,</w:t>
            </w:r>
            <w:r>
              <w:rPr>
                <w:rFonts w:ascii="Arial" w:hAnsi="Arial" w:eastAsia="宋体" w:cs="Arial"/>
                <w:color w:val="4F4F4F"/>
                <w:kern w:val="0"/>
                <w:sz w:val="18"/>
                <w:szCs w:val="18"/>
              </w:rPr>
              <w:t xml:space="preserve"> </w:t>
            </w:r>
            <w:r>
              <w:rPr>
                <w:rFonts w:ascii="Arial" w:hAnsi="Arial" w:cs="Arial"/>
                <w:color w:val="4F4F4F"/>
                <w:sz w:val="18"/>
                <w:szCs w:val="18"/>
                <w:shd w:val="clear" w:color="auto" w:fill="FFFFFF"/>
              </w:rPr>
              <w:t>2018-02-01,</w:t>
            </w:r>
            <w:r>
              <w:rPr>
                <w:rFonts w:ascii="Arial" w:hAnsi="Arial" w:eastAsia="宋体" w:cs="Arial"/>
                <w:color w:val="4F4F4F"/>
                <w:kern w:val="0"/>
                <w:sz w:val="18"/>
                <w:szCs w:val="18"/>
              </w:rPr>
              <w:t xml:space="preserve"> Vol.37, No.2, 780-788</w:t>
            </w:r>
          </w:p>
        </w:tc>
        <w:tc>
          <w:tcPr>
            <w:tcW w:w="709" w:type="dxa"/>
          </w:tcPr>
          <w:p>
            <w:pPr>
              <w:widowControl/>
              <w:jc w:val="center"/>
            </w:pPr>
            <w:r>
              <w:rPr>
                <w:rFonts w:hint="eastAsia"/>
              </w:rPr>
              <w:t>C</w:t>
            </w:r>
          </w:p>
        </w:tc>
        <w:tc>
          <w:tcPr>
            <w:tcW w:w="850" w:type="dxa"/>
          </w:tcPr>
          <w:p>
            <w:pPr>
              <w:widowControl/>
              <w:jc w:val="center"/>
            </w:pPr>
          </w:p>
        </w:tc>
        <w:tc>
          <w:tcPr>
            <w:tcW w:w="127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tcPr>
          <w:p>
            <w:pPr>
              <w:jc w:val="center"/>
            </w:pPr>
            <w:r>
              <w:t>7</w:t>
            </w:r>
          </w:p>
        </w:tc>
        <w:tc>
          <w:tcPr>
            <w:tcW w:w="3171" w:type="dxa"/>
            <w:tcBorders>
              <w:left w:val="single" w:color="auto" w:sz="4" w:space="0"/>
            </w:tcBorders>
          </w:tcPr>
          <w:p>
            <w:pPr>
              <w:jc w:val="center"/>
            </w:pPr>
            <w:r>
              <w:rPr>
                <w:rFonts w:ascii="Arial" w:hAnsi="Arial" w:cs="Arial"/>
                <w:color w:val="4F4F4F"/>
                <w:sz w:val="18"/>
                <w:szCs w:val="18"/>
                <w:shd w:val="clear" w:color="auto" w:fill="FFFFFF"/>
              </w:rPr>
              <w:t>生物化学综合大实验及其考核方式的改革</w:t>
            </w:r>
          </w:p>
        </w:tc>
        <w:tc>
          <w:tcPr>
            <w:tcW w:w="3260" w:type="dxa"/>
          </w:tcPr>
          <w:p>
            <w:pPr>
              <w:widowControl/>
              <w:jc w:val="center"/>
            </w:pPr>
            <w:r>
              <w:rPr>
                <w:rFonts w:ascii="Arial" w:hAnsi="Arial" w:cs="Arial"/>
                <w:color w:val="4F4F4F"/>
                <w:sz w:val="18"/>
                <w:szCs w:val="18"/>
                <w:shd w:val="clear" w:color="auto" w:fill="FFFFFF"/>
              </w:rPr>
              <w:t>实验技术与管理</w:t>
            </w:r>
            <w:r>
              <w:rPr>
                <w:rFonts w:hint="eastAsia" w:ascii="Arial" w:hAnsi="Arial" w:cs="Arial"/>
                <w:color w:val="4F4F4F"/>
                <w:sz w:val="18"/>
                <w:szCs w:val="18"/>
                <w:shd w:val="clear" w:color="auto" w:fill="FFFFFF"/>
              </w:rPr>
              <w:t>,</w:t>
            </w:r>
            <w:r>
              <w:rPr>
                <w:rFonts w:ascii="Arial" w:hAnsi="Arial" w:eastAsia="宋体" w:cs="Arial"/>
                <w:color w:val="4F4F4F"/>
                <w:kern w:val="0"/>
                <w:sz w:val="18"/>
                <w:szCs w:val="18"/>
              </w:rPr>
              <w:t xml:space="preserve"> 2017-09-17,</w:t>
            </w:r>
            <w:r>
              <w:rPr>
                <w:rFonts w:ascii="Arial" w:hAnsi="Arial" w:cs="Arial"/>
                <w:color w:val="4F4F4F"/>
                <w:sz w:val="18"/>
                <w:szCs w:val="18"/>
                <w:shd w:val="clear" w:color="auto" w:fill="FFFFFF"/>
              </w:rPr>
              <w:t xml:space="preserve"> 34（09）：198-200</w:t>
            </w:r>
          </w:p>
        </w:tc>
        <w:tc>
          <w:tcPr>
            <w:tcW w:w="709" w:type="dxa"/>
          </w:tcPr>
          <w:p>
            <w:pPr>
              <w:widowControl/>
              <w:jc w:val="center"/>
            </w:pPr>
            <w:r>
              <w:rPr>
                <w:rFonts w:hint="eastAsia"/>
              </w:rPr>
              <w:t>C</w:t>
            </w:r>
          </w:p>
        </w:tc>
        <w:tc>
          <w:tcPr>
            <w:tcW w:w="850" w:type="dxa"/>
          </w:tcPr>
          <w:p>
            <w:pPr>
              <w:widowControl/>
              <w:jc w:val="center"/>
            </w:pPr>
          </w:p>
        </w:tc>
        <w:tc>
          <w:tcPr>
            <w:tcW w:w="127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tcPr>
          <w:p>
            <w:pPr>
              <w:jc w:val="center"/>
            </w:pPr>
            <w:r>
              <w:rPr>
                <w:rFonts w:hint="eastAsia"/>
              </w:rPr>
              <w:t>8</w:t>
            </w:r>
          </w:p>
        </w:tc>
        <w:tc>
          <w:tcPr>
            <w:tcW w:w="3171" w:type="dxa"/>
            <w:tcBorders>
              <w:left w:val="single" w:color="auto" w:sz="4" w:space="0"/>
            </w:tcBorders>
          </w:tcPr>
          <w:p>
            <w:pPr>
              <w:jc w:val="center"/>
              <w:rPr>
                <w:rFonts w:ascii="Arial" w:hAnsi="Arial" w:cs="Arial"/>
                <w:color w:val="4F4F4F"/>
                <w:sz w:val="18"/>
                <w:szCs w:val="18"/>
                <w:shd w:val="clear" w:color="auto" w:fill="FFFFFF"/>
              </w:rPr>
            </w:pPr>
            <w:r>
              <w:rPr>
                <w:rFonts w:hint="eastAsia" w:ascii="Arial" w:hAnsi="Arial" w:cs="Arial"/>
                <w:color w:val="4F4F4F"/>
                <w:sz w:val="18"/>
                <w:szCs w:val="18"/>
                <w:shd w:val="clear" w:color="auto" w:fill="FFFFFF"/>
              </w:rPr>
              <w:t>不同林龄木麻黄浸提液的GC-MS分析</w:t>
            </w:r>
          </w:p>
        </w:tc>
        <w:tc>
          <w:tcPr>
            <w:tcW w:w="3260" w:type="dxa"/>
          </w:tcPr>
          <w:p>
            <w:pPr>
              <w:widowControl/>
              <w:jc w:val="center"/>
              <w:rPr>
                <w:rFonts w:ascii="Arial" w:hAnsi="Arial" w:cs="Arial"/>
                <w:color w:val="4F4F4F"/>
                <w:sz w:val="18"/>
                <w:szCs w:val="18"/>
                <w:shd w:val="clear" w:color="auto" w:fill="FFFFFF"/>
              </w:rPr>
            </w:pPr>
            <w:r>
              <w:rPr>
                <w:rFonts w:ascii="Arial" w:hAnsi="Arial" w:cs="Arial"/>
                <w:color w:val="4F4F4F"/>
                <w:sz w:val="18"/>
                <w:szCs w:val="18"/>
                <w:shd w:val="clear" w:color="auto" w:fill="FFFFFF"/>
              </w:rPr>
              <w:t>西北林学院学报</w:t>
            </w:r>
            <w:r>
              <w:rPr>
                <w:rFonts w:hint="eastAsia" w:ascii="Arial" w:hAnsi="Arial" w:cs="Arial"/>
                <w:color w:val="4F4F4F"/>
                <w:sz w:val="18"/>
                <w:szCs w:val="18"/>
                <w:shd w:val="clear" w:color="auto" w:fill="FFFFFF"/>
              </w:rPr>
              <w:t>,</w:t>
            </w:r>
            <w:r>
              <w:rPr>
                <w:rFonts w:ascii="Arial" w:hAnsi="Arial" w:cs="Arial"/>
                <w:color w:val="4F4F4F"/>
                <w:sz w:val="18"/>
                <w:szCs w:val="18"/>
                <w:shd w:val="clear" w:color="auto" w:fill="FFFFFF"/>
              </w:rPr>
              <w:t xml:space="preserve"> 2015-08-04,</w:t>
            </w:r>
            <w:r>
              <w:rPr>
                <w:rFonts w:ascii="Arial" w:hAnsi="Arial" w:eastAsia="宋体" w:cs="Arial"/>
                <w:color w:val="4F4F4F"/>
                <w:kern w:val="0"/>
                <w:sz w:val="18"/>
                <w:szCs w:val="18"/>
              </w:rPr>
              <w:t xml:space="preserve"> 30(04):228-232</w:t>
            </w:r>
          </w:p>
        </w:tc>
        <w:tc>
          <w:tcPr>
            <w:tcW w:w="709" w:type="dxa"/>
          </w:tcPr>
          <w:p>
            <w:pPr>
              <w:widowControl/>
              <w:jc w:val="center"/>
            </w:pPr>
            <w:r>
              <w:rPr>
                <w:rFonts w:hint="eastAsia"/>
              </w:rPr>
              <w:t>C</w:t>
            </w:r>
          </w:p>
        </w:tc>
        <w:tc>
          <w:tcPr>
            <w:tcW w:w="850" w:type="dxa"/>
          </w:tcPr>
          <w:p>
            <w:pPr>
              <w:widowControl/>
              <w:jc w:val="center"/>
            </w:pPr>
          </w:p>
        </w:tc>
        <w:tc>
          <w:tcPr>
            <w:tcW w:w="127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15" w:type="dxa"/>
            <w:tcBorders>
              <w:right w:val="single" w:color="auto" w:sz="4" w:space="0"/>
            </w:tcBorders>
          </w:tcPr>
          <w:p>
            <w:pPr>
              <w:jc w:val="center"/>
            </w:pPr>
            <w:r>
              <w:rPr>
                <w:rFonts w:hint="eastAsia"/>
              </w:rPr>
              <w:t>9</w:t>
            </w:r>
          </w:p>
        </w:tc>
        <w:tc>
          <w:tcPr>
            <w:tcW w:w="3171" w:type="dxa"/>
            <w:tcBorders>
              <w:left w:val="single" w:color="auto" w:sz="4" w:space="0"/>
            </w:tcBorders>
          </w:tcPr>
          <w:p>
            <w:pPr>
              <w:jc w:val="center"/>
              <w:rPr>
                <w:rFonts w:ascii="Arial" w:hAnsi="Arial" w:cs="Arial"/>
                <w:color w:val="4F4F4F"/>
                <w:sz w:val="18"/>
                <w:szCs w:val="18"/>
                <w:shd w:val="clear" w:color="auto" w:fill="FFFFFF"/>
              </w:rPr>
            </w:pPr>
            <w:r>
              <w:rPr>
                <w:rFonts w:ascii="Arial" w:hAnsi="Arial" w:cs="Arial"/>
                <w:color w:val="4F4F4F"/>
                <w:sz w:val="18"/>
                <w:szCs w:val="18"/>
                <w:shd w:val="clear" w:color="auto" w:fill="FFFFFF"/>
              </w:rPr>
              <w:t>高效石油降解菌株的筛选及菌群构建</w:t>
            </w:r>
          </w:p>
        </w:tc>
        <w:tc>
          <w:tcPr>
            <w:tcW w:w="3260" w:type="dxa"/>
          </w:tcPr>
          <w:p>
            <w:pPr>
              <w:widowControl/>
              <w:jc w:val="center"/>
              <w:rPr>
                <w:rFonts w:ascii="Arial" w:hAnsi="Arial" w:cs="Arial"/>
                <w:color w:val="4F4F4F"/>
                <w:sz w:val="18"/>
                <w:szCs w:val="18"/>
                <w:shd w:val="clear" w:color="auto" w:fill="FFFFFF"/>
              </w:rPr>
            </w:pPr>
            <w:r>
              <w:rPr>
                <w:rFonts w:ascii="Arial" w:hAnsi="Arial" w:eastAsia="宋体" w:cs="Arial"/>
                <w:color w:val="4F4F4F"/>
                <w:kern w:val="0"/>
                <w:sz w:val="18"/>
                <w:szCs w:val="18"/>
              </w:rPr>
              <w:t>海南师范大学学</w:t>
            </w:r>
            <w:r>
              <w:rPr>
                <w:rFonts w:hint="eastAsia" w:ascii="Arial" w:hAnsi="Arial" w:eastAsia="宋体" w:cs="Arial"/>
                <w:color w:val="4F4F4F"/>
                <w:kern w:val="0"/>
                <w:sz w:val="18"/>
                <w:szCs w:val="18"/>
              </w:rPr>
              <w:t>报（自然科学版），</w:t>
            </w:r>
            <w:r>
              <w:rPr>
                <w:rFonts w:ascii="Arial" w:hAnsi="Arial" w:eastAsia="宋体" w:cs="Arial"/>
                <w:color w:val="4F4F4F"/>
                <w:kern w:val="0"/>
                <w:sz w:val="18"/>
                <w:szCs w:val="18"/>
              </w:rPr>
              <w:t>2015-12-30</w:t>
            </w:r>
            <w:r>
              <w:rPr>
                <w:rFonts w:hint="eastAsia" w:ascii="Arial" w:hAnsi="Arial" w:eastAsia="宋体" w:cs="Arial"/>
                <w:color w:val="4F4F4F"/>
                <w:kern w:val="0"/>
                <w:sz w:val="18"/>
                <w:szCs w:val="18"/>
              </w:rPr>
              <w:t>，</w:t>
            </w:r>
            <w:r>
              <w:rPr>
                <w:rFonts w:ascii="Arial" w:hAnsi="Arial" w:eastAsia="宋体" w:cs="Arial"/>
                <w:color w:val="4F4F4F"/>
                <w:kern w:val="0"/>
                <w:sz w:val="18"/>
                <w:szCs w:val="18"/>
              </w:rPr>
              <w:t>28（4）：421-424</w:t>
            </w:r>
          </w:p>
        </w:tc>
        <w:tc>
          <w:tcPr>
            <w:tcW w:w="709" w:type="dxa"/>
          </w:tcPr>
          <w:p>
            <w:pPr>
              <w:widowControl/>
              <w:jc w:val="center"/>
            </w:pPr>
            <w:r>
              <w:rPr>
                <w:rFonts w:hint="eastAsia"/>
              </w:rPr>
              <w:t>D</w:t>
            </w:r>
          </w:p>
        </w:tc>
        <w:tc>
          <w:tcPr>
            <w:tcW w:w="850" w:type="dxa"/>
          </w:tcPr>
          <w:p>
            <w:pPr>
              <w:widowControl/>
              <w:jc w:val="center"/>
            </w:pPr>
          </w:p>
        </w:tc>
        <w:tc>
          <w:tcPr>
            <w:tcW w:w="1276" w:type="dxa"/>
            <w:tcBorders>
              <w:right w:val="single" w:color="auto" w:sz="4" w:space="0"/>
            </w:tcBorders>
          </w:tcPr>
          <w:p>
            <w:pPr>
              <w:widowControl/>
              <w:jc w:val="center"/>
            </w:pPr>
          </w:p>
        </w:tc>
      </w:tr>
    </w:tbl>
    <w:p>
      <w:pPr>
        <w:widowControl/>
        <w:jc w:val="left"/>
      </w:pPr>
      <w:r>
        <w:br w:type="page"/>
      </w:r>
    </w:p>
    <w:tbl>
      <w:tblPr>
        <w:tblStyle w:val="6"/>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9"/>
            <w:vAlign w:val="center"/>
          </w:tcPr>
          <w:p>
            <w:pPr>
              <w:jc w:val="center"/>
              <w:rPr>
                <w:rFonts w:eastAsia="宋体"/>
              </w:rPr>
            </w:pP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rPr>
                <w:rFonts w:eastAsia="宋体"/>
              </w:rPr>
            </w:pPr>
            <w:r>
              <w:rPr>
                <w:rFonts w:hint="eastAsia"/>
              </w:rPr>
              <w:t>序号</w:t>
            </w:r>
          </w:p>
        </w:tc>
        <w:tc>
          <w:tcPr>
            <w:tcW w:w="2277" w:type="dxa"/>
            <w:tcBorders>
              <w:left w:val="single" w:color="auto" w:sz="4" w:space="0"/>
            </w:tcBorders>
            <w:vAlign w:val="center"/>
          </w:tcPr>
          <w:p>
            <w:pPr>
              <w:ind w:firstLine="840" w:firstLineChars="400"/>
            </w:pPr>
            <w:r>
              <w:rPr>
                <w:rFonts w:hint="eastAsia"/>
              </w:rPr>
              <w:t>成果名称</w:t>
            </w:r>
          </w:p>
        </w:tc>
        <w:tc>
          <w:tcPr>
            <w:tcW w:w="655" w:type="dxa"/>
            <w:vAlign w:val="center"/>
          </w:tcPr>
          <w:p>
            <w:pPr>
              <w:rPr>
                <w:rFonts w:eastAsia="宋体"/>
              </w:rPr>
            </w:pPr>
            <w:r>
              <w:rPr>
                <w:rFonts w:hint="eastAsia"/>
              </w:rPr>
              <w:t>类别</w:t>
            </w:r>
          </w:p>
        </w:tc>
        <w:tc>
          <w:tcPr>
            <w:tcW w:w="1058" w:type="dxa"/>
            <w:vAlign w:val="center"/>
          </w:tcPr>
          <w:p>
            <w:r>
              <w:rPr>
                <w:rFonts w:hint="eastAsia"/>
              </w:rPr>
              <w:t>合（独）著译及排名</w:t>
            </w:r>
          </w:p>
        </w:tc>
        <w:tc>
          <w:tcPr>
            <w:tcW w:w="1276" w:type="dxa"/>
            <w:vAlign w:val="center"/>
          </w:tcPr>
          <w:p>
            <w:pPr>
              <w:rPr>
                <w:rFonts w:eastAsia="宋体"/>
              </w:rPr>
            </w:pPr>
            <w:r>
              <w:rPr>
                <w:rFonts w:hint="eastAsia"/>
              </w:rPr>
              <w:t>出版社和出版时间</w:t>
            </w:r>
          </w:p>
        </w:tc>
        <w:tc>
          <w:tcPr>
            <w:tcW w:w="851" w:type="dxa"/>
            <w:tcBorders>
              <w:right w:val="single" w:color="auto" w:sz="4" w:space="0"/>
            </w:tcBorders>
            <w:vAlign w:val="center"/>
          </w:tcPr>
          <w:p>
            <w:pPr>
              <w:rPr>
                <w:rFonts w:eastAsia="宋体"/>
              </w:rPr>
            </w:pPr>
            <w:r>
              <w:rPr>
                <w:rFonts w:hint="eastAsia"/>
              </w:rPr>
              <w:t>CIP核字号</w:t>
            </w:r>
          </w:p>
        </w:tc>
        <w:tc>
          <w:tcPr>
            <w:tcW w:w="1134" w:type="dxa"/>
            <w:tcBorders>
              <w:left w:val="single" w:color="auto" w:sz="4" w:space="0"/>
            </w:tcBorders>
            <w:vAlign w:val="center"/>
          </w:tcPr>
          <w:p>
            <w:r>
              <w:rPr>
                <w:rFonts w:hint="eastAsia"/>
              </w:rPr>
              <w:t>总字数（万字）</w:t>
            </w:r>
          </w:p>
        </w:tc>
        <w:tc>
          <w:tcPr>
            <w:tcW w:w="992" w:type="dxa"/>
            <w:vAlign w:val="center"/>
          </w:tcPr>
          <w:p>
            <w:r>
              <w:rPr>
                <w:rFonts w:hint="eastAsia"/>
              </w:rPr>
              <w:t>个人撰</w:t>
            </w:r>
          </w:p>
          <w:p>
            <w:pPr>
              <w:rPr>
                <w:rFonts w:eastAsia="宋体"/>
              </w:rPr>
            </w:pPr>
            <w:r>
              <w:rPr>
                <w:rFonts w:hint="eastAsia"/>
              </w:rPr>
              <w:t>写字数（万字）</w:t>
            </w:r>
          </w:p>
        </w:tc>
        <w:tc>
          <w:tcPr>
            <w:tcW w:w="850" w:type="dxa"/>
            <w:vAlign w:val="center"/>
          </w:tcPr>
          <w:p>
            <w:pPr>
              <w:rPr>
                <w:rFonts w:eastAsia="宋体"/>
              </w:rPr>
            </w:pPr>
            <w:r>
              <w:rPr>
                <w:rFonts w:hint="eastAsia"/>
              </w:rPr>
              <w:t>检索页（有或无）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1" w:hRule="atLeast"/>
        </w:trPr>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bl>
    <w:p/>
    <w:tbl>
      <w:tblPr>
        <w:tblStyle w:val="6"/>
        <w:tblpPr w:leftFromText="180" w:rightFromText="180" w:vertAnchor="text" w:horzAnchor="page" w:tblpX="1242" w:tblpY="18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8"/>
            <w:vAlign w:val="center"/>
          </w:tcPr>
          <w:p>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pPr>
              <w:jc w:val="center"/>
            </w:pPr>
            <w:r>
              <w:rPr>
                <w:rFonts w:hint="eastAsia"/>
              </w:rPr>
              <w:t>获奖成果名称</w:t>
            </w:r>
          </w:p>
        </w:tc>
        <w:tc>
          <w:tcPr>
            <w:tcW w:w="1200" w:type="dxa"/>
            <w:tcBorders>
              <w:left w:val="single" w:color="auto" w:sz="4" w:space="0"/>
            </w:tcBorders>
            <w:vAlign w:val="center"/>
          </w:tcPr>
          <w:p>
            <w:pPr>
              <w:jc w:val="center"/>
              <w:rPr>
                <w:rFonts w:eastAsia="宋体"/>
              </w:rPr>
            </w:pPr>
            <w:r>
              <w:rPr>
                <w:rFonts w:hint="eastAsia"/>
              </w:rPr>
              <w:t>成果类别</w:t>
            </w:r>
          </w:p>
        </w:tc>
        <w:tc>
          <w:tcPr>
            <w:tcW w:w="1882" w:type="dxa"/>
            <w:tcBorders>
              <w:right w:val="single" w:color="auto" w:sz="4" w:space="0"/>
            </w:tcBorders>
            <w:vAlign w:val="center"/>
          </w:tcPr>
          <w:p>
            <w:pPr>
              <w:ind w:firstLine="210" w:firstLineChars="100"/>
              <w:rPr>
                <w:rFonts w:eastAsia="宋体"/>
              </w:rPr>
            </w:pPr>
            <w:r>
              <w:rPr>
                <w:rFonts w:hint="eastAsia"/>
              </w:rPr>
              <w:t>奖励名称</w:t>
            </w:r>
          </w:p>
        </w:tc>
        <w:tc>
          <w:tcPr>
            <w:tcW w:w="1077" w:type="dxa"/>
            <w:tcBorders>
              <w:left w:val="single" w:color="auto" w:sz="4" w:space="0"/>
            </w:tcBorders>
            <w:vAlign w:val="center"/>
          </w:tcPr>
          <w:p>
            <w:pPr>
              <w:rPr>
                <w:rFonts w:eastAsia="宋体"/>
              </w:rPr>
            </w:pPr>
            <w:r>
              <w:rPr>
                <w:rFonts w:hint="eastAsia"/>
              </w:rPr>
              <w:t>获奖等级</w:t>
            </w:r>
          </w:p>
        </w:tc>
        <w:tc>
          <w:tcPr>
            <w:tcW w:w="928" w:type="dxa"/>
            <w:vAlign w:val="center"/>
          </w:tcPr>
          <w:p>
            <w:pPr>
              <w:jc w:val="center"/>
            </w:pPr>
            <w:r>
              <w:rPr>
                <w:rFonts w:hint="eastAsia"/>
              </w:rPr>
              <w:t>获奖</w:t>
            </w:r>
          </w:p>
          <w:p>
            <w:pPr>
              <w:jc w:val="center"/>
            </w:pPr>
            <w:r>
              <w:rPr>
                <w:rFonts w:hint="eastAsia"/>
              </w:rPr>
              <w:t>时间</w:t>
            </w:r>
          </w:p>
        </w:tc>
        <w:tc>
          <w:tcPr>
            <w:tcW w:w="897" w:type="dxa"/>
            <w:vAlign w:val="center"/>
          </w:tcPr>
          <w:p>
            <w:pPr>
              <w:jc w:val="center"/>
            </w:pPr>
            <w:r>
              <w:rPr>
                <w:rFonts w:hint="eastAsia"/>
              </w:rPr>
              <w:t>第几</w:t>
            </w:r>
          </w:p>
          <w:p>
            <w:pPr>
              <w:jc w:val="center"/>
              <w:rPr>
                <w:rFonts w:eastAsia="宋体"/>
              </w:rPr>
            </w:pPr>
            <w:r>
              <w:rPr>
                <w:rFonts w:hint="eastAsia"/>
              </w:rPr>
              <w:t>完成人</w:t>
            </w:r>
          </w:p>
        </w:tc>
        <w:tc>
          <w:tcPr>
            <w:tcW w:w="852" w:type="dxa"/>
            <w:vAlign w:val="center"/>
          </w:tcPr>
          <w:p>
            <w:pPr>
              <w:jc w:val="cente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4" w:hRule="atLeast"/>
        </w:trPr>
        <w:tc>
          <w:tcPr>
            <w:tcW w:w="675" w:type="dxa"/>
            <w:tcBorders>
              <w:right w:val="single" w:color="auto" w:sz="4" w:space="0"/>
            </w:tcBorders>
            <w:vAlign w:val="center"/>
          </w:tcPr>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675" w:type="dxa"/>
            <w:tcBorders>
              <w:right w:val="single" w:color="auto" w:sz="4" w:space="0"/>
            </w:tcBorders>
            <w:vAlign w:val="center"/>
          </w:tcPr>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bl>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pPr>
              <w:widowControl/>
              <w:jc w:val="center"/>
              <w:rPr>
                <w:rFonts w:eastAsia="宋体"/>
              </w:rPr>
            </w:pPr>
            <w:r>
              <w:rPr>
                <w:rFonts w:hint="eastAsia"/>
                <w:b/>
                <w:bCs/>
              </w:rPr>
              <w:t xml:space="preserve"> 任选条件之</w:t>
            </w:r>
            <w:r>
              <w:rPr>
                <w:rFonts w:ascii="宋体" w:hAnsi="宋体" w:cs="Arial"/>
                <w:color w:val="000000"/>
                <w:kern w:val="0"/>
                <w:szCs w:val="21"/>
              </w:rPr>
              <w:t>③</w:t>
            </w:r>
            <w:r>
              <w:rPr>
                <w:rFonts w:hint="eastAsia"/>
                <w:b/>
                <w:bCs/>
              </w:rPr>
              <w:t xml:space="preserve"> 社会服务效益（经费）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Pr>
              <w:jc w:val="center"/>
              <w:rPr>
                <w:rFonts w:eastAsia="宋体"/>
              </w:rPr>
            </w:pPr>
            <w:r>
              <w:rPr>
                <w:rFonts w:hint="eastAsia"/>
              </w:rPr>
              <w:t>序号</w:t>
            </w:r>
          </w:p>
        </w:tc>
        <w:tc>
          <w:tcPr>
            <w:tcW w:w="3523" w:type="dxa"/>
            <w:vAlign w:val="center"/>
          </w:tcPr>
          <w:p>
            <w:pPr>
              <w:jc w:val="center"/>
            </w:pPr>
            <w:r>
              <w:rPr>
                <w:rFonts w:hint="eastAsia"/>
              </w:rPr>
              <w:t>项目（成果）名称</w:t>
            </w:r>
          </w:p>
        </w:tc>
        <w:tc>
          <w:tcPr>
            <w:tcW w:w="1639" w:type="dxa"/>
            <w:vAlign w:val="center"/>
          </w:tcPr>
          <w:p>
            <w:pPr>
              <w:jc w:val="center"/>
            </w:pPr>
            <w:r>
              <w:rPr>
                <w:rFonts w:hint="eastAsia"/>
              </w:rPr>
              <w:t>项目来源</w:t>
            </w:r>
          </w:p>
        </w:tc>
        <w:tc>
          <w:tcPr>
            <w:tcW w:w="1063" w:type="dxa"/>
            <w:vAlign w:val="center"/>
          </w:tcPr>
          <w:p>
            <w:pPr>
              <w:jc w:val="center"/>
              <w:rPr>
                <w:rFonts w:eastAsia="宋体"/>
              </w:rPr>
            </w:pPr>
            <w:r>
              <w:rPr>
                <w:rFonts w:hint="eastAsia"/>
              </w:rPr>
              <w:t>时间</w:t>
            </w:r>
          </w:p>
        </w:tc>
        <w:tc>
          <w:tcPr>
            <w:tcW w:w="928" w:type="dxa"/>
            <w:vAlign w:val="center"/>
          </w:tcPr>
          <w:p>
            <w:pPr>
              <w:jc w:val="center"/>
            </w:pPr>
            <w:r>
              <w:rPr>
                <w:rFonts w:hint="eastAsia"/>
              </w:rPr>
              <w:t>是否</w:t>
            </w:r>
          </w:p>
          <w:p>
            <w:pPr>
              <w:jc w:val="center"/>
              <w:rPr>
                <w:rFonts w:eastAsia="宋体"/>
              </w:rPr>
            </w:pPr>
            <w:r>
              <w:rPr>
                <w:rFonts w:hint="eastAsia"/>
              </w:rPr>
              <w:t>主持</w:t>
            </w:r>
          </w:p>
        </w:tc>
        <w:tc>
          <w:tcPr>
            <w:tcW w:w="1091" w:type="dxa"/>
            <w:vAlign w:val="center"/>
          </w:tcPr>
          <w:p>
            <w:pPr>
              <w:jc w:val="center"/>
              <w:rPr>
                <w:rFonts w:eastAsia="宋体"/>
              </w:rPr>
            </w:pPr>
            <w:r>
              <w:rPr>
                <w:rFonts w:hint="eastAsia"/>
              </w:rPr>
              <w:t>到账经费（万元）</w:t>
            </w:r>
          </w:p>
        </w:tc>
        <w:tc>
          <w:tcPr>
            <w:tcW w:w="970" w:type="dxa"/>
            <w:vAlign w:val="center"/>
          </w:tcPr>
          <w:p>
            <w:pP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
        </w:tc>
        <w:tc>
          <w:tcPr>
            <w:tcW w:w="3523" w:type="dxa"/>
            <w:vAlign w:val="center"/>
          </w:tcPr>
          <w:p/>
        </w:tc>
        <w:tc>
          <w:tcPr>
            <w:tcW w:w="1639" w:type="dxa"/>
            <w:vAlign w:val="center"/>
          </w:tcPr>
          <w:p/>
        </w:tc>
        <w:tc>
          <w:tcPr>
            <w:tcW w:w="1063" w:type="dxa"/>
            <w:vAlign w:val="center"/>
          </w:tcPr>
          <w:p/>
        </w:tc>
        <w:tc>
          <w:tcPr>
            <w:tcW w:w="928" w:type="dxa"/>
            <w:vAlign w:val="center"/>
          </w:tcPr>
          <w:p/>
        </w:tc>
        <w:tc>
          <w:tcPr>
            <w:tcW w:w="1091" w:type="dxa"/>
            <w:vAlign w:val="center"/>
          </w:tcPr>
          <w:p/>
        </w:tc>
        <w:tc>
          <w:tcPr>
            <w:tcW w:w="97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9" w:hRule="atLeast"/>
        </w:trPr>
        <w:tc>
          <w:tcPr>
            <w:tcW w:w="567" w:type="dxa"/>
            <w:vAlign w:val="center"/>
          </w:tcPr>
          <w:p/>
          <w:p/>
        </w:tc>
        <w:tc>
          <w:tcPr>
            <w:tcW w:w="3523" w:type="dxa"/>
            <w:vAlign w:val="center"/>
          </w:tcPr>
          <w:p/>
        </w:tc>
        <w:tc>
          <w:tcPr>
            <w:tcW w:w="1639" w:type="dxa"/>
            <w:vAlign w:val="center"/>
          </w:tcPr>
          <w:p/>
        </w:tc>
        <w:tc>
          <w:tcPr>
            <w:tcW w:w="1063" w:type="dxa"/>
            <w:vAlign w:val="center"/>
          </w:tcPr>
          <w:p/>
        </w:tc>
        <w:tc>
          <w:tcPr>
            <w:tcW w:w="928" w:type="dxa"/>
            <w:vAlign w:val="center"/>
          </w:tcPr>
          <w:p/>
        </w:tc>
        <w:tc>
          <w:tcPr>
            <w:tcW w:w="1091" w:type="dxa"/>
            <w:vAlign w:val="center"/>
          </w:tcPr>
          <w:p/>
        </w:tc>
        <w:tc>
          <w:tcPr>
            <w:tcW w:w="970" w:type="dxa"/>
            <w:vAlign w:val="center"/>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9" w:hRule="atLeast"/>
        </w:trPr>
        <w:tc>
          <w:tcPr>
            <w:tcW w:w="567" w:type="dxa"/>
            <w:vAlign w:val="center"/>
          </w:tcPr>
          <w:p/>
          <w:p/>
        </w:tc>
        <w:tc>
          <w:tcPr>
            <w:tcW w:w="3523" w:type="dxa"/>
            <w:vAlign w:val="center"/>
          </w:tcPr>
          <w:p/>
        </w:tc>
        <w:tc>
          <w:tcPr>
            <w:tcW w:w="1639" w:type="dxa"/>
            <w:vAlign w:val="center"/>
          </w:tcPr>
          <w:p/>
        </w:tc>
        <w:tc>
          <w:tcPr>
            <w:tcW w:w="1063" w:type="dxa"/>
            <w:vAlign w:val="center"/>
          </w:tcPr>
          <w:p/>
        </w:tc>
        <w:tc>
          <w:tcPr>
            <w:tcW w:w="928" w:type="dxa"/>
            <w:vAlign w:val="center"/>
          </w:tcPr>
          <w:p/>
        </w:tc>
        <w:tc>
          <w:tcPr>
            <w:tcW w:w="1091" w:type="dxa"/>
            <w:vAlign w:val="center"/>
          </w:tcPr>
          <w:p/>
        </w:tc>
        <w:tc>
          <w:tcPr>
            <w:tcW w:w="970" w:type="dxa"/>
            <w:vAlign w:val="center"/>
          </w:tcPr>
          <w:p/>
        </w:tc>
      </w:tr>
    </w:tbl>
    <w:p/>
    <w:p>
      <w:r>
        <w:rPr>
          <w:rFonts w:hint="eastAsia"/>
        </w:rPr>
        <w:t xml:space="preserve"> </w:t>
      </w:r>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1816"/>
        <w:gridCol w:w="705"/>
        <w:gridCol w:w="1275"/>
        <w:gridCol w:w="1200"/>
        <w:gridCol w:w="1155"/>
        <w:gridCol w:w="945"/>
        <w:gridCol w:w="1154"/>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9"/>
            <w:vAlign w:val="center"/>
          </w:tcPr>
          <w:p>
            <w:pPr>
              <w:widowControl/>
              <w:jc w:val="center"/>
            </w:pPr>
            <w:r>
              <w:rPr>
                <w:rFonts w:hint="eastAsia"/>
                <w:b/>
                <w:bCs/>
              </w:rPr>
              <w:t>任选条件之</w:t>
            </w: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4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④</w:t>
            </w:r>
            <w:r>
              <w:rPr>
                <w:rFonts w:ascii="宋体" w:hAnsi="宋体" w:cs="Arial"/>
                <w:color w:val="000000"/>
                <w:kern w:val="0"/>
                <w:szCs w:val="21"/>
              </w:rPr>
              <w:fldChar w:fldCharType="end"/>
            </w:r>
            <w:r>
              <w:rPr>
                <w:rFonts w:hint="eastAsia"/>
                <w:b/>
                <w:bCs/>
              </w:rPr>
              <w:t>获授权国家发明专利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1816"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授权专利名称</w:t>
            </w:r>
          </w:p>
        </w:tc>
        <w:tc>
          <w:tcPr>
            <w:tcW w:w="705" w:type="dxa"/>
            <w:tcBorders>
              <w:right w:val="single" w:color="auto" w:sz="4" w:space="0"/>
            </w:tcBorders>
            <w:vAlign w:val="center"/>
          </w:tcPr>
          <w:p>
            <w:pPr>
              <w:widowControl/>
              <w:jc w:val="center"/>
              <w:rPr>
                <w:rFonts w:eastAsia="宋体"/>
              </w:rPr>
            </w:pPr>
            <w:r>
              <w:rPr>
                <w:rFonts w:hint="eastAsia"/>
              </w:rPr>
              <w:t>等级</w:t>
            </w:r>
          </w:p>
        </w:tc>
        <w:tc>
          <w:tcPr>
            <w:tcW w:w="1275" w:type="dxa"/>
            <w:tcBorders>
              <w:left w:val="single" w:color="auto" w:sz="4" w:space="0"/>
              <w:right w:val="single" w:color="auto" w:sz="4" w:space="0"/>
            </w:tcBorders>
            <w:vAlign w:val="center"/>
          </w:tcPr>
          <w:p>
            <w:pPr>
              <w:widowControl/>
              <w:jc w:val="center"/>
            </w:pPr>
            <w:r>
              <w:rPr>
                <w:rFonts w:hint="eastAsia" w:ascii="宋体" w:hAnsi="宋体" w:cs="Arial"/>
                <w:color w:val="000000"/>
                <w:kern w:val="0"/>
                <w:szCs w:val="21"/>
              </w:rPr>
              <w:t>专利授权号</w:t>
            </w:r>
          </w:p>
        </w:tc>
        <w:tc>
          <w:tcPr>
            <w:tcW w:w="1200" w:type="dxa"/>
            <w:tcBorders>
              <w:left w:val="single" w:color="auto" w:sz="4" w:space="0"/>
            </w:tcBorders>
            <w:vAlign w:val="center"/>
          </w:tcPr>
          <w:p>
            <w:pPr>
              <w:widowControl/>
              <w:jc w:val="center"/>
              <w:rPr>
                <w:rFonts w:eastAsia="宋体"/>
              </w:rPr>
            </w:pPr>
            <w:r>
              <w:rPr>
                <w:rFonts w:hint="eastAsia"/>
              </w:rPr>
              <w:t>专利类型</w:t>
            </w:r>
          </w:p>
        </w:tc>
        <w:tc>
          <w:tcPr>
            <w:tcW w:w="1155" w:type="dxa"/>
            <w:vAlign w:val="center"/>
          </w:tcPr>
          <w:p>
            <w:pPr>
              <w:widowControl/>
              <w:jc w:val="center"/>
            </w:pPr>
            <w:r>
              <w:rPr>
                <w:rFonts w:hint="eastAsia"/>
              </w:rPr>
              <w:t>授权时间</w:t>
            </w:r>
          </w:p>
        </w:tc>
        <w:tc>
          <w:tcPr>
            <w:tcW w:w="945" w:type="dxa"/>
            <w:tcBorders>
              <w:right w:val="single" w:color="auto" w:sz="4" w:space="0"/>
            </w:tcBorders>
            <w:vAlign w:val="center"/>
          </w:tcPr>
          <w:p>
            <w:pPr>
              <w:widowControl/>
              <w:jc w:val="center"/>
              <w:rPr>
                <w:rFonts w:eastAsia="宋体"/>
              </w:rPr>
            </w:pPr>
            <w:r>
              <w:rPr>
                <w:rFonts w:hint="eastAsia" w:eastAsia="宋体"/>
              </w:rPr>
              <w:t>第几发明人</w:t>
            </w:r>
          </w:p>
        </w:tc>
        <w:tc>
          <w:tcPr>
            <w:tcW w:w="1154" w:type="dxa"/>
            <w:tcBorders>
              <w:left w:val="single" w:color="auto" w:sz="4" w:space="0"/>
            </w:tcBorders>
            <w:vAlign w:val="center"/>
          </w:tcPr>
          <w:p>
            <w:pPr>
              <w:widowControl/>
              <w:jc w:val="center"/>
            </w:pPr>
            <w:r>
              <w:rPr>
                <w:rFonts w:hint="eastAsia"/>
              </w:rPr>
              <w:t>转让或实施情况</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r>
              <w:rPr>
                <w:rFonts w:hint="eastAsia"/>
              </w:rPr>
              <w:t>1</w:t>
            </w:r>
          </w:p>
        </w:tc>
        <w:tc>
          <w:tcPr>
            <w:tcW w:w="1816" w:type="dxa"/>
            <w:tcBorders>
              <w:left w:val="single" w:color="auto" w:sz="4" w:space="0"/>
            </w:tcBorders>
          </w:tcPr>
          <w:p>
            <w:pPr>
              <w:rPr>
                <w:rFonts w:ascii="Times New Roman" w:hAnsi="Times New Roman" w:cs="Times New Roman"/>
              </w:rPr>
            </w:pPr>
            <w:r>
              <w:rPr>
                <w:rFonts w:ascii="Times New Roman" w:hAnsi="Times New Roman" w:cs="Times New Roman"/>
              </w:rPr>
              <w:t>一种芽孢杆菌HSY32、杀虫蛋白、cry-like杀虫基因及应用</w:t>
            </w:r>
          </w:p>
        </w:tc>
        <w:tc>
          <w:tcPr>
            <w:tcW w:w="705" w:type="dxa"/>
            <w:tcBorders>
              <w:right w:val="single" w:color="auto" w:sz="4" w:space="0"/>
            </w:tcBorders>
          </w:tcPr>
          <w:p>
            <w:pPr>
              <w:widowControl/>
              <w:jc w:val="center"/>
              <w:rPr>
                <w:rFonts w:ascii="Times New Roman" w:hAnsi="Times New Roman" w:cs="Times New Roman"/>
              </w:rPr>
            </w:pPr>
            <w:r>
              <w:rPr>
                <w:rFonts w:hint="eastAsia" w:ascii="Times New Roman" w:hAnsi="Times New Roman" w:cs="Times New Roman"/>
              </w:rPr>
              <w:t>B</w:t>
            </w:r>
          </w:p>
        </w:tc>
        <w:tc>
          <w:tcPr>
            <w:tcW w:w="1275" w:type="dxa"/>
            <w:tcBorders>
              <w:left w:val="single" w:color="auto" w:sz="4" w:space="0"/>
              <w:right w:val="single" w:color="auto" w:sz="4" w:space="0"/>
            </w:tcBorders>
          </w:tcPr>
          <w:p>
            <w:pPr>
              <w:widowControl/>
              <w:rPr>
                <w:rFonts w:ascii="Times New Roman" w:hAnsi="Times New Roman" w:cs="Times New Roman"/>
              </w:rPr>
            </w:pPr>
            <w:r>
              <w:rPr>
                <w:rFonts w:ascii="Times New Roman" w:hAnsi="Times New Roman" w:cs="Times New Roman"/>
              </w:rPr>
              <w:t>ZL 2021 1 1246045.3</w:t>
            </w:r>
          </w:p>
        </w:tc>
        <w:tc>
          <w:tcPr>
            <w:tcW w:w="1200" w:type="dxa"/>
            <w:tcBorders>
              <w:left w:val="single" w:color="auto" w:sz="4" w:space="0"/>
            </w:tcBorders>
          </w:tcPr>
          <w:p>
            <w:pPr>
              <w:widowControl/>
              <w:jc w:val="center"/>
            </w:pPr>
            <w:r>
              <w:rPr>
                <w:rFonts w:hint="eastAsia"/>
              </w:rPr>
              <w:t>发明专利</w:t>
            </w:r>
          </w:p>
        </w:tc>
        <w:tc>
          <w:tcPr>
            <w:tcW w:w="1155" w:type="dxa"/>
          </w:tcPr>
          <w:p>
            <w:pPr>
              <w:widowControl/>
              <w:wordWrap w:val="0"/>
              <w:spacing w:line="300" w:lineRule="atLeast"/>
              <w:rPr>
                <w:rFonts w:ascii="Arial" w:hAnsi="Arial" w:cs="Arial"/>
                <w:color w:val="4F4F4F"/>
                <w:kern w:val="0"/>
                <w:sz w:val="18"/>
                <w:szCs w:val="18"/>
              </w:rPr>
            </w:pPr>
            <w:r>
              <w:rPr>
                <w:rFonts w:ascii="Arial" w:hAnsi="Arial" w:cs="Arial"/>
                <w:color w:val="4F4F4F"/>
                <w:sz w:val="18"/>
                <w:szCs w:val="18"/>
              </w:rPr>
              <w:t>2022-05-13</w:t>
            </w:r>
          </w:p>
          <w:p>
            <w:pPr>
              <w:widowControl/>
              <w:jc w:val="center"/>
            </w:pPr>
          </w:p>
        </w:tc>
        <w:tc>
          <w:tcPr>
            <w:tcW w:w="945" w:type="dxa"/>
            <w:tcBorders>
              <w:right w:val="single" w:color="auto" w:sz="4" w:space="0"/>
            </w:tcBorders>
          </w:tcPr>
          <w:p>
            <w:pPr>
              <w:widowControl/>
            </w:pPr>
            <w:r>
              <w:rPr>
                <w:rFonts w:hint="eastAsia"/>
              </w:rPr>
              <w:t>第一</w:t>
            </w:r>
          </w:p>
        </w:tc>
        <w:tc>
          <w:tcPr>
            <w:tcW w:w="1154" w:type="dxa"/>
            <w:tcBorders>
              <w:left w:val="single" w:color="auto" w:sz="4" w:space="0"/>
            </w:tcBorders>
          </w:tcPr>
          <w:p>
            <w:pPr>
              <w:widowControl/>
              <w:jc w:val="center"/>
            </w:pPr>
            <w:r>
              <w:rPr>
                <w:rFonts w:hint="eastAsia"/>
              </w:rPr>
              <w:t>未转让</w:t>
            </w: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1816" w:type="dxa"/>
            <w:tcBorders>
              <w:left w:val="single" w:color="auto" w:sz="4" w:space="0"/>
            </w:tcBorders>
          </w:tcPr>
          <w:p>
            <w:pPr>
              <w:jc w:val="center"/>
            </w:pPr>
          </w:p>
        </w:tc>
        <w:tc>
          <w:tcPr>
            <w:tcW w:w="705" w:type="dxa"/>
            <w:tcBorders>
              <w:right w:val="single" w:color="auto" w:sz="4" w:space="0"/>
            </w:tcBorders>
          </w:tcPr>
          <w:p>
            <w:pPr>
              <w:widowControl/>
              <w:jc w:val="center"/>
            </w:pPr>
          </w:p>
        </w:tc>
        <w:tc>
          <w:tcPr>
            <w:tcW w:w="1275" w:type="dxa"/>
            <w:tcBorders>
              <w:left w:val="single" w:color="auto" w:sz="4" w:space="0"/>
              <w:right w:val="single" w:color="auto" w:sz="4" w:space="0"/>
            </w:tcBorders>
          </w:tcPr>
          <w:p>
            <w:pPr>
              <w:widowControl/>
              <w:jc w:val="center"/>
            </w:pPr>
          </w:p>
        </w:tc>
        <w:tc>
          <w:tcPr>
            <w:tcW w:w="1200" w:type="dxa"/>
            <w:tcBorders>
              <w:left w:val="single" w:color="auto" w:sz="4" w:space="0"/>
            </w:tcBorders>
          </w:tcPr>
          <w:p>
            <w:pPr>
              <w:widowControl/>
              <w:jc w:val="center"/>
            </w:pPr>
          </w:p>
        </w:tc>
        <w:tc>
          <w:tcPr>
            <w:tcW w:w="1155" w:type="dxa"/>
          </w:tcPr>
          <w:p>
            <w:pPr>
              <w:widowControl/>
              <w:jc w:val="center"/>
            </w:pPr>
          </w:p>
        </w:tc>
        <w:tc>
          <w:tcPr>
            <w:tcW w:w="945" w:type="dxa"/>
            <w:tcBorders>
              <w:right w:val="single" w:color="auto" w:sz="4" w:space="0"/>
            </w:tcBorders>
          </w:tcPr>
          <w:p>
            <w:pPr>
              <w:widowControl/>
              <w:jc w:val="center"/>
            </w:pPr>
          </w:p>
        </w:tc>
        <w:tc>
          <w:tcPr>
            <w:tcW w:w="1154" w:type="dxa"/>
            <w:tcBorders>
              <w:left w:val="single" w:color="auto" w:sz="4" w:space="0"/>
            </w:tcBorders>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1816" w:type="dxa"/>
            <w:tcBorders>
              <w:left w:val="single" w:color="auto" w:sz="4" w:space="0"/>
            </w:tcBorders>
          </w:tcPr>
          <w:p>
            <w:pPr>
              <w:jc w:val="center"/>
            </w:pPr>
          </w:p>
        </w:tc>
        <w:tc>
          <w:tcPr>
            <w:tcW w:w="705" w:type="dxa"/>
            <w:tcBorders>
              <w:right w:val="single" w:color="auto" w:sz="4" w:space="0"/>
            </w:tcBorders>
          </w:tcPr>
          <w:p>
            <w:pPr>
              <w:widowControl/>
              <w:jc w:val="center"/>
            </w:pPr>
          </w:p>
        </w:tc>
        <w:tc>
          <w:tcPr>
            <w:tcW w:w="1275" w:type="dxa"/>
            <w:tcBorders>
              <w:left w:val="single" w:color="auto" w:sz="4" w:space="0"/>
              <w:right w:val="single" w:color="auto" w:sz="4" w:space="0"/>
            </w:tcBorders>
          </w:tcPr>
          <w:p>
            <w:pPr>
              <w:widowControl/>
              <w:jc w:val="center"/>
            </w:pPr>
          </w:p>
        </w:tc>
        <w:tc>
          <w:tcPr>
            <w:tcW w:w="1200" w:type="dxa"/>
            <w:tcBorders>
              <w:left w:val="single" w:color="auto" w:sz="4" w:space="0"/>
            </w:tcBorders>
          </w:tcPr>
          <w:p>
            <w:pPr>
              <w:widowControl/>
              <w:jc w:val="center"/>
            </w:pPr>
          </w:p>
        </w:tc>
        <w:tc>
          <w:tcPr>
            <w:tcW w:w="1155" w:type="dxa"/>
          </w:tcPr>
          <w:p>
            <w:pPr>
              <w:widowControl/>
              <w:jc w:val="center"/>
            </w:pPr>
          </w:p>
        </w:tc>
        <w:tc>
          <w:tcPr>
            <w:tcW w:w="945" w:type="dxa"/>
            <w:tcBorders>
              <w:right w:val="single" w:color="auto" w:sz="4" w:space="0"/>
            </w:tcBorders>
          </w:tcPr>
          <w:p>
            <w:pPr>
              <w:widowControl/>
              <w:jc w:val="center"/>
            </w:pPr>
          </w:p>
        </w:tc>
        <w:tc>
          <w:tcPr>
            <w:tcW w:w="1154" w:type="dxa"/>
            <w:tcBorders>
              <w:left w:val="single" w:color="auto" w:sz="4" w:space="0"/>
            </w:tcBorders>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1816" w:type="dxa"/>
            <w:tcBorders>
              <w:left w:val="single" w:color="auto" w:sz="4" w:space="0"/>
            </w:tcBorders>
          </w:tcPr>
          <w:p>
            <w:pPr>
              <w:jc w:val="center"/>
            </w:pPr>
          </w:p>
        </w:tc>
        <w:tc>
          <w:tcPr>
            <w:tcW w:w="705" w:type="dxa"/>
            <w:tcBorders>
              <w:right w:val="single" w:color="auto" w:sz="4" w:space="0"/>
            </w:tcBorders>
          </w:tcPr>
          <w:p>
            <w:pPr>
              <w:widowControl/>
              <w:jc w:val="center"/>
            </w:pPr>
          </w:p>
        </w:tc>
        <w:tc>
          <w:tcPr>
            <w:tcW w:w="1275" w:type="dxa"/>
            <w:tcBorders>
              <w:left w:val="single" w:color="auto" w:sz="4" w:space="0"/>
              <w:right w:val="single" w:color="auto" w:sz="4" w:space="0"/>
            </w:tcBorders>
          </w:tcPr>
          <w:p>
            <w:pPr>
              <w:widowControl/>
              <w:jc w:val="center"/>
            </w:pPr>
          </w:p>
        </w:tc>
        <w:tc>
          <w:tcPr>
            <w:tcW w:w="1200" w:type="dxa"/>
            <w:tcBorders>
              <w:left w:val="single" w:color="auto" w:sz="4" w:space="0"/>
            </w:tcBorders>
          </w:tcPr>
          <w:p>
            <w:pPr>
              <w:widowControl/>
              <w:jc w:val="center"/>
            </w:pPr>
          </w:p>
        </w:tc>
        <w:tc>
          <w:tcPr>
            <w:tcW w:w="1155" w:type="dxa"/>
          </w:tcPr>
          <w:p>
            <w:pPr>
              <w:widowControl/>
              <w:jc w:val="center"/>
            </w:pPr>
          </w:p>
        </w:tc>
        <w:tc>
          <w:tcPr>
            <w:tcW w:w="945" w:type="dxa"/>
            <w:tcBorders>
              <w:right w:val="single" w:color="auto" w:sz="4" w:space="0"/>
            </w:tcBorders>
          </w:tcPr>
          <w:p>
            <w:pPr>
              <w:widowControl/>
              <w:jc w:val="center"/>
            </w:pPr>
          </w:p>
        </w:tc>
        <w:tc>
          <w:tcPr>
            <w:tcW w:w="1154" w:type="dxa"/>
            <w:tcBorders>
              <w:left w:val="single" w:color="auto" w:sz="4" w:space="0"/>
            </w:tcBorders>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1816" w:type="dxa"/>
            <w:tcBorders>
              <w:left w:val="single" w:color="auto" w:sz="4" w:space="0"/>
            </w:tcBorders>
          </w:tcPr>
          <w:p>
            <w:pPr>
              <w:jc w:val="center"/>
            </w:pPr>
          </w:p>
        </w:tc>
        <w:tc>
          <w:tcPr>
            <w:tcW w:w="705" w:type="dxa"/>
            <w:tcBorders>
              <w:right w:val="single" w:color="auto" w:sz="4" w:space="0"/>
            </w:tcBorders>
          </w:tcPr>
          <w:p>
            <w:pPr>
              <w:widowControl/>
              <w:jc w:val="center"/>
            </w:pPr>
          </w:p>
        </w:tc>
        <w:tc>
          <w:tcPr>
            <w:tcW w:w="1275" w:type="dxa"/>
            <w:tcBorders>
              <w:left w:val="single" w:color="auto" w:sz="4" w:space="0"/>
              <w:right w:val="single" w:color="auto" w:sz="4" w:space="0"/>
            </w:tcBorders>
          </w:tcPr>
          <w:p>
            <w:pPr>
              <w:widowControl/>
              <w:jc w:val="center"/>
            </w:pPr>
          </w:p>
        </w:tc>
        <w:tc>
          <w:tcPr>
            <w:tcW w:w="1200" w:type="dxa"/>
            <w:tcBorders>
              <w:left w:val="single" w:color="auto" w:sz="4" w:space="0"/>
            </w:tcBorders>
          </w:tcPr>
          <w:p>
            <w:pPr>
              <w:widowControl/>
              <w:jc w:val="center"/>
            </w:pPr>
          </w:p>
        </w:tc>
        <w:tc>
          <w:tcPr>
            <w:tcW w:w="1155" w:type="dxa"/>
          </w:tcPr>
          <w:p>
            <w:pPr>
              <w:widowControl/>
              <w:jc w:val="center"/>
            </w:pPr>
          </w:p>
        </w:tc>
        <w:tc>
          <w:tcPr>
            <w:tcW w:w="945" w:type="dxa"/>
            <w:tcBorders>
              <w:right w:val="single" w:color="auto" w:sz="4" w:space="0"/>
            </w:tcBorders>
          </w:tcPr>
          <w:p>
            <w:pPr>
              <w:widowControl/>
              <w:jc w:val="center"/>
            </w:pPr>
          </w:p>
        </w:tc>
        <w:tc>
          <w:tcPr>
            <w:tcW w:w="1154" w:type="dxa"/>
            <w:tcBorders>
              <w:left w:val="single" w:color="auto" w:sz="4" w:space="0"/>
            </w:tcBorders>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1816" w:type="dxa"/>
            <w:tcBorders>
              <w:left w:val="single" w:color="auto" w:sz="4" w:space="0"/>
            </w:tcBorders>
          </w:tcPr>
          <w:p>
            <w:pPr>
              <w:jc w:val="center"/>
            </w:pPr>
          </w:p>
        </w:tc>
        <w:tc>
          <w:tcPr>
            <w:tcW w:w="705" w:type="dxa"/>
            <w:tcBorders>
              <w:right w:val="single" w:color="auto" w:sz="4" w:space="0"/>
            </w:tcBorders>
          </w:tcPr>
          <w:p>
            <w:pPr>
              <w:widowControl/>
              <w:jc w:val="center"/>
            </w:pPr>
          </w:p>
        </w:tc>
        <w:tc>
          <w:tcPr>
            <w:tcW w:w="1275" w:type="dxa"/>
            <w:tcBorders>
              <w:left w:val="single" w:color="auto" w:sz="4" w:space="0"/>
              <w:right w:val="single" w:color="auto" w:sz="4" w:space="0"/>
            </w:tcBorders>
          </w:tcPr>
          <w:p>
            <w:pPr>
              <w:widowControl/>
              <w:jc w:val="center"/>
            </w:pPr>
          </w:p>
        </w:tc>
        <w:tc>
          <w:tcPr>
            <w:tcW w:w="1200" w:type="dxa"/>
            <w:tcBorders>
              <w:left w:val="single" w:color="auto" w:sz="4" w:space="0"/>
            </w:tcBorders>
          </w:tcPr>
          <w:p>
            <w:pPr>
              <w:widowControl/>
              <w:jc w:val="center"/>
            </w:pPr>
          </w:p>
        </w:tc>
        <w:tc>
          <w:tcPr>
            <w:tcW w:w="1155" w:type="dxa"/>
          </w:tcPr>
          <w:p>
            <w:pPr>
              <w:widowControl/>
              <w:jc w:val="center"/>
            </w:pPr>
          </w:p>
        </w:tc>
        <w:tc>
          <w:tcPr>
            <w:tcW w:w="945" w:type="dxa"/>
            <w:tcBorders>
              <w:right w:val="single" w:color="auto" w:sz="4" w:space="0"/>
            </w:tcBorders>
          </w:tcPr>
          <w:p>
            <w:pPr>
              <w:widowControl/>
              <w:jc w:val="center"/>
            </w:pPr>
          </w:p>
        </w:tc>
        <w:tc>
          <w:tcPr>
            <w:tcW w:w="1154" w:type="dxa"/>
            <w:tcBorders>
              <w:left w:val="single" w:color="auto" w:sz="4" w:space="0"/>
            </w:tcBorders>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1816" w:type="dxa"/>
            <w:tcBorders>
              <w:left w:val="single" w:color="auto" w:sz="4" w:space="0"/>
            </w:tcBorders>
          </w:tcPr>
          <w:p>
            <w:pPr>
              <w:jc w:val="center"/>
            </w:pPr>
          </w:p>
        </w:tc>
        <w:tc>
          <w:tcPr>
            <w:tcW w:w="705" w:type="dxa"/>
            <w:tcBorders>
              <w:right w:val="single" w:color="auto" w:sz="4" w:space="0"/>
            </w:tcBorders>
          </w:tcPr>
          <w:p>
            <w:pPr>
              <w:widowControl/>
              <w:jc w:val="center"/>
            </w:pPr>
          </w:p>
        </w:tc>
        <w:tc>
          <w:tcPr>
            <w:tcW w:w="1275" w:type="dxa"/>
            <w:tcBorders>
              <w:left w:val="single" w:color="auto" w:sz="4" w:space="0"/>
              <w:right w:val="single" w:color="auto" w:sz="4" w:space="0"/>
            </w:tcBorders>
          </w:tcPr>
          <w:p>
            <w:pPr>
              <w:widowControl/>
              <w:jc w:val="center"/>
            </w:pPr>
          </w:p>
        </w:tc>
        <w:tc>
          <w:tcPr>
            <w:tcW w:w="1200" w:type="dxa"/>
            <w:tcBorders>
              <w:left w:val="single" w:color="auto" w:sz="4" w:space="0"/>
            </w:tcBorders>
          </w:tcPr>
          <w:p>
            <w:pPr>
              <w:widowControl/>
              <w:jc w:val="center"/>
            </w:pPr>
          </w:p>
        </w:tc>
        <w:tc>
          <w:tcPr>
            <w:tcW w:w="1155" w:type="dxa"/>
          </w:tcPr>
          <w:p>
            <w:pPr>
              <w:widowControl/>
              <w:jc w:val="center"/>
            </w:pPr>
          </w:p>
        </w:tc>
        <w:tc>
          <w:tcPr>
            <w:tcW w:w="945" w:type="dxa"/>
            <w:tcBorders>
              <w:right w:val="single" w:color="auto" w:sz="4" w:space="0"/>
            </w:tcBorders>
          </w:tcPr>
          <w:p>
            <w:pPr>
              <w:widowControl/>
              <w:jc w:val="center"/>
            </w:pPr>
          </w:p>
        </w:tc>
        <w:tc>
          <w:tcPr>
            <w:tcW w:w="1154" w:type="dxa"/>
            <w:tcBorders>
              <w:left w:val="single" w:color="auto" w:sz="4" w:space="0"/>
            </w:tcBorders>
          </w:tcPr>
          <w:p>
            <w:pPr>
              <w:widowControl/>
              <w:jc w:val="center"/>
            </w:pPr>
          </w:p>
        </w:tc>
        <w:tc>
          <w:tcPr>
            <w:tcW w:w="1066" w:type="dxa"/>
            <w:tcBorders>
              <w:right w:val="single" w:color="auto" w:sz="4" w:space="0"/>
            </w:tcBorders>
          </w:tcPr>
          <w:p>
            <w:pPr>
              <w:widowControl/>
              <w:jc w:val="center"/>
            </w:pPr>
          </w:p>
        </w:tc>
      </w:tr>
    </w:tbl>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widowControl/>
              <w:jc w:val="center"/>
            </w:pPr>
            <w:r>
              <w:rPr>
                <w:rFonts w:hint="eastAsia"/>
                <w:b/>
                <w:bCs/>
              </w:rPr>
              <w:t>任选条件之</w:t>
            </w:r>
            <w:r>
              <w:rPr>
                <w:rFonts w:hint="eastAsia" w:ascii="宋体" w:hAnsi="宋体" w:cs="Arial"/>
                <w:color w:val="000000"/>
                <w:kern w:val="0"/>
                <w:szCs w:val="21"/>
              </w:rPr>
              <w:t xml:space="preserve">⑤ </w:t>
            </w:r>
            <w:r>
              <w:rPr>
                <w:rFonts w:hint="eastAsia"/>
                <w:b/>
                <w:bCs/>
              </w:rPr>
              <w:t>研究报告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pPr>
              <w:widowControl/>
              <w:jc w:val="center"/>
              <w:rPr>
                <w:rFonts w:eastAsia="宋体"/>
              </w:rPr>
            </w:pPr>
            <w:r>
              <w:rPr>
                <w:rFonts w:hint="eastAsia"/>
              </w:rPr>
              <w:t>采纳部门（或领导批示）</w:t>
            </w:r>
          </w:p>
        </w:tc>
        <w:tc>
          <w:tcPr>
            <w:tcW w:w="1133" w:type="dxa"/>
            <w:vAlign w:val="center"/>
          </w:tcPr>
          <w:p>
            <w:pPr>
              <w:widowControl/>
              <w:jc w:val="center"/>
            </w:pPr>
            <w:r>
              <w:rPr>
                <w:rFonts w:hint="eastAsia" w:ascii="宋体" w:hAnsi="宋体" w:cs="Arial"/>
                <w:color w:val="000000"/>
                <w:kern w:val="0"/>
                <w:szCs w:val="21"/>
              </w:rPr>
              <w:t>采纳时间</w:t>
            </w:r>
          </w:p>
        </w:tc>
        <w:tc>
          <w:tcPr>
            <w:tcW w:w="1389" w:type="dxa"/>
            <w:vAlign w:val="center"/>
          </w:tcPr>
          <w:p>
            <w:pPr>
              <w:widowControl/>
              <w:jc w:val="center"/>
              <w:rPr>
                <w:rFonts w:eastAsia="宋体"/>
              </w:rPr>
            </w:pPr>
            <w:r>
              <w:rPr>
                <w:rFonts w:hint="eastAsia"/>
              </w:rPr>
              <w:t>级别</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p>
      <w:pPr>
        <w:widowControl/>
        <w:jc w:val="left"/>
      </w:pPr>
      <w:r>
        <w:br w:type="page"/>
      </w:r>
    </w:p>
    <w:p>
      <w:pPr>
        <w:widowControl/>
        <w:jc w:val="left"/>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850" w:hRule="atLeast"/>
        </w:trPr>
        <w:tc>
          <w:tcPr>
            <w:tcW w:w="9854" w:type="dxa"/>
          </w:tcPr>
          <w:p>
            <w:pPr>
              <w:snapToGrid w:val="0"/>
              <w:spacing w:line="360" w:lineRule="auto"/>
              <w:ind w:firstLine="420" w:firstLineChars="200"/>
              <w:contextualSpacing/>
              <w:rPr>
                <w:szCs w:val="21"/>
              </w:rPr>
            </w:pPr>
            <w:r>
              <w:rPr>
                <w:rFonts w:hint="eastAsia"/>
                <w:szCs w:val="21"/>
              </w:rPr>
              <w:t>本人于2</w:t>
            </w:r>
            <w:r>
              <w:rPr>
                <w:szCs w:val="21"/>
              </w:rPr>
              <w:t>011</w:t>
            </w:r>
            <w:r>
              <w:rPr>
                <w:rFonts w:hint="eastAsia"/>
                <w:szCs w:val="21"/>
              </w:rPr>
              <w:t>年6月毕业于厦门大学生物化学与分子生物学专业，2</w:t>
            </w:r>
            <w:r>
              <w:rPr>
                <w:szCs w:val="21"/>
              </w:rPr>
              <w:t>011</w:t>
            </w:r>
            <w:r>
              <w:rPr>
                <w:rFonts w:hint="eastAsia"/>
                <w:szCs w:val="21"/>
              </w:rPr>
              <w:t>年7月就职于海南师范大学，2</w:t>
            </w:r>
            <w:r>
              <w:rPr>
                <w:szCs w:val="21"/>
              </w:rPr>
              <w:t>013</w:t>
            </w:r>
            <w:r>
              <w:rPr>
                <w:rFonts w:hint="eastAsia"/>
                <w:szCs w:val="21"/>
              </w:rPr>
              <w:t>年</w:t>
            </w:r>
            <w:r>
              <w:rPr>
                <w:szCs w:val="21"/>
              </w:rPr>
              <w:t>9</w:t>
            </w:r>
            <w:r>
              <w:rPr>
                <w:rFonts w:hint="eastAsia"/>
                <w:szCs w:val="21"/>
              </w:rPr>
              <w:t>月起聘任实验师职务，从事实验室以及大型仪器的相关管理工作，现就本人的专业技术工作述评如下：</w:t>
            </w:r>
          </w:p>
          <w:p>
            <w:pPr>
              <w:snapToGrid w:val="0"/>
              <w:spacing w:line="360" w:lineRule="auto"/>
              <w:ind w:firstLine="420" w:firstLineChars="200"/>
              <w:contextualSpacing/>
              <w:rPr>
                <w:szCs w:val="21"/>
              </w:rPr>
            </w:pPr>
            <w:r>
              <w:rPr>
                <w:rFonts w:hint="eastAsia"/>
                <w:szCs w:val="21"/>
              </w:rPr>
              <w:t>一 实验室管理工作</w:t>
            </w:r>
          </w:p>
          <w:p>
            <w:pPr>
              <w:snapToGrid w:val="0"/>
              <w:spacing w:line="360" w:lineRule="auto"/>
              <w:ind w:firstLine="420" w:firstLineChars="200"/>
              <w:contextualSpacing/>
              <w:rPr>
                <w:szCs w:val="21"/>
              </w:rPr>
            </w:pPr>
            <w:r>
              <w:rPr>
                <w:rFonts w:hint="eastAsia"/>
                <w:szCs w:val="21"/>
              </w:rPr>
              <w:t>任现职以来，认真做好分管实验室的安全与卫生，仪器设备的运行、维护与保养工作，保障实验教学和科研工作的正常运行。任现职期间，共准备全日制本科生实验课程5门，分别为《生物化学实验》《生物化学技术》、《食品安全检测》、《有机化学实验》以及《基础化学实验》。</w:t>
            </w:r>
          </w:p>
          <w:p>
            <w:pPr>
              <w:snapToGrid w:val="0"/>
              <w:spacing w:line="360" w:lineRule="auto"/>
              <w:ind w:firstLine="420" w:firstLineChars="200"/>
              <w:contextualSpacing/>
              <w:rPr>
                <w:szCs w:val="21"/>
              </w:rPr>
            </w:pPr>
            <w:r>
              <w:rPr>
                <w:rFonts w:hint="eastAsia"/>
                <w:szCs w:val="21"/>
              </w:rPr>
              <w:t>在教学实验室管理方面，协助实验中心建立并完善了实验室的各项规章制度，引进膜浓缩、镍离子螯合亲和层析等技术，完善生物化学实验的教学，逐步完善生物化学实验室的仪器设备配套，引进先进的仪器设备，建立起规范、功能齐备的生物化学实验室。另外，协助实验中心完成教学科研用危险化学药品的申购工作，过期药品及危化品（含废液）的无公害处置工作，实验材料的收集整理工作等。</w:t>
            </w:r>
          </w:p>
          <w:p>
            <w:pPr>
              <w:snapToGrid w:val="0"/>
              <w:spacing w:line="360" w:lineRule="auto"/>
              <w:ind w:firstLine="420" w:firstLineChars="200"/>
              <w:contextualSpacing/>
              <w:rPr>
                <w:szCs w:val="21"/>
              </w:rPr>
            </w:pPr>
            <w:r>
              <w:rPr>
                <w:rFonts w:hint="eastAsia"/>
                <w:szCs w:val="21"/>
              </w:rPr>
              <w:t>在公共仪器室管理方面，近年来负责我院大型仪器设备荧光定量P</w:t>
            </w:r>
            <w:r>
              <w:rPr>
                <w:szCs w:val="21"/>
              </w:rPr>
              <w:t>CR</w:t>
            </w:r>
            <w:r>
              <w:rPr>
                <w:rFonts w:hint="eastAsia"/>
                <w:szCs w:val="21"/>
              </w:rPr>
              <w:t>仪、自动化数字P</w:t>
            </w:r>
            <w:r>
              <w:rPr>
                <w:szCs w:val="21"/>
              </w:rPr>
              <w:t>CR</w:t>
            </w:r>
            <w:r>
              <w:rPr>
                <w:rFonts w:hint="eastAsia"/>
                <w:szCs w:val="21"/>
              </w:rPr>
              <w:t>仪、层析系统、流式细胞仪、酶标仪、冷冻切片机、超微量分光光度计等的运行、维护、使用及技术支持，及时解决仪器设备使用过程中出现问题。同时积极参加大型科研仪器设备实验技术培训，提高自己的技术水平，更好的服务师生。积极拓展仪器的功能，增加酶标仪的滤光片等，以便仪器的功能得到最大化利用等。</w:t>
            </w:r>
          </w:p>
          <w:p>
            <w:pPr>
              <w:snapToGrid w:val="0"/>
              <w:spacing w:line="360" w:lineRule="auto"/>
              <w:ind w:firstLine="420" w:firstLineChars="200"/>
              <w:contextualSpacing/>
              <w:rPr>
                <w:szCs w:val="21"/>
              </w:rPr>
            </w:pPr>
            <w:r>
              <w:rPr>
                <w:rFonts w:hint="eastAsia"/>
                <w:szCs w:val="21"/>
              </w:rPr>
              <w:t>二 实验教学方面</w:t>
            </w:r>
          </w:p>
          <w:p>
            <w:pPr>
              <w:snapToGrid w:val="0"/>
              <w:spacing w:line="360" w:lineRule="auto"/>
              <w:ind w:firstLine="420" w:firstLineChars="200"/>
              <w:contextualSpacing/>
              <w:rPr>
                <w:szCs w:val="21"/>
              </w:rPr>
            </w:pPr>
            <w:r>
              <w:rPr>
                <w:rFonts w:hint="eastAsia"/>
                <w:szCs w:val="21"/>
              </w:rPr>
              <w:t>任现职以来，共讲授全日制本科生的《生物化学实验》、《生物化学技术》、《食品安全检测》、《有机化学实验》4门。</w:t>
            </w:r>
          </w:p>
          <w:p>
            <w:pPr>
              <w:snapToGrid w:val="0"/>
              <w:spacing w:line="360" w:lineRule="auto"/>
              <w:ind w:firstLine="420" w:firstLineChars="200"/>
              <w:contextualSpacing/>
              <w:rPr>
                <w:szCs w:val="21"/>
              </w:rPr>
            </w:pPr>
            <w:r>
              <w:rPr>
                <w:rFonts w:hint="eastAsia"/>
                <w:szCs w:val="21"/>
              </w:rPr>
              <w:t>自承担生物化学实验的教学以来，在教学过程中积极探索生物化学实验的改革，申请并获得“充分利用翻转课堂教学模式，多渠道改革生物化学实验教学课程体系与方法”和“项目驱动式创新人才培养模式在生物学专业实践中的应用”2项校级教学改革项目。结合学生的科研兴趣，以小组项目的方式串联生物化学实验的各项实验技术，使学生不仅掌握了基本的实验技术操作，同时能够更加灵活的运用到科学研究中，促进了学生创新能力的培养。摒弃传统的碱性磷酸酶等实验材料，教研组引入重组荧光蛋白，另外，通过多次摸索，将纸层析实验中的正丁醇和异戊醇换为乙醇，起到了更好的教学效果。相关教改成果发表在《实验技术与管理》和《实验室研究与探索》上，本人为第一作者。</w:t>
            </w:r>
          </w:p>
          <w:p>
            <w:pPr>
              <w:snapToGrid w:val="0"/>
              <w:spacing w:line="360" w:lineRule="auto"/>
              <w:ind w:firstLine="420" w:firstLineChars="200"/>
              <w:contextualSpacing/>
              <w:rPr>
                <w:szCs w:val="21"/>
              </w:rPr>
            </w:pPr>
            <w:r>
              <w:rPr>
                <w:rFonts w:hint="eastAsia"/>
                <w:szCs w:val="21"/>
              </w:rPr>
              <w:t>负责撰写2</w:t>
            </w:r>
            <w:r>
              <w:rPr>
                <w:szCs w:val="21"/>
              </w:rPr>
              <w:t>016</w:t>
            </w:r>
            <w:r>
              <w:rPr>
                <w:rFonts w:hint="eastAsia"/>
                <w:szCs w:val="21"/>
              </w:rPr>
              <w:t>版和2</w:t>
            </w:r>
            <w:r>
              <w:rPr>
                <w:szCs w:val="21"/>
              </w:rPr>
              <w:t>019</w:t>
            </w:r>
            <w:r>
              <w:rPr>
                <w:rFonts w:hint="eastAsia"/>
                <w:szCs w:val="21"/>
              </w:rPr>
              <w:t>版《生物化学实验》以及《生物化学技术》实验部分的教学大纲，对生物化学实验教研小组成员的培养做出了积极的指导。指导学生积极参加“大学生创新创业训练计划项目”，获得省级2项，校级1项，通过项目的研究，学生在实验技能和创新能力方面获得显著的提升。</w:t>
            </w:r>
          </w:p>
          <w:p>
            <w:pPr>
              <w:snapToGrid w:val="0"/>
              <w:spacing w:line="360" w:lineRule="auto"/>
              <w:ind w:firstLine="420" w:firstLineChars="200"/>
              <w:contextualSpacing/>
              <w:rPr>
                <w:szCs w:val="21"/>
              </w:rPr>
            </w:pPr>
            <w:r>
              <w:rPr>
                <w:rFonts w:hint="eastAsia"/>
                <w:szCs w:val="21"/>
              </w:rPr>
              <w:t>三 科学研究方面</w:t>
            </w:r>
          </w:p>
          <w:p>
            <w:pPr>
              <w:snapToGrid w:val="0"/>
              <w:spacing w:line="360" w:lineRule="auto"/>
              <w:ind w:firstLine="420" w:firstLineChars="200"/>
              <w:contextualSpacing/>
              <w:rPr>
                <w:szCs w:val="21"/>
              </w:rPr>
            </w:pPr>
            <w:r>
              <w:rPr>
                <w:rFonts w:hint="eastAsia"/>
                <w:szCs w:val="21"/>
              </w:rPr>
              <w:t>在完成本职工作的同时，积极主动的开展科研工作。任现职以来，主持海南省科协青年人才托举工程暨青年科技英才创新计划项目1项（项目号：Q</w:t>
            </w:r>
            <w:r>
              <w:rPr>
                <w:szCs w:val="21"/>
              </w:rPr>
              <w:t>CXM201905</w:t>
            </w:r>
            <w:r>
              <w:rPr>
                <w:rFonts w:hint="eastAsia"/>
                <w:szCs w:val="21"/>
              </w:rPr>
              <w:t>），主持海南省自然科学基金青年基金项目1项（项目号：</w:t>
            </w:r>
            <w:r>
              <w:rPr>
                <w:szCs w:val="21"/>
              </w:rPr>
              <w:t>320QN254</w:t>
            </w:r>
            <w:r>
              <w:rPr>
                <w:rFonts w:hint="eastAsia"/>
                <w:szCs w:val="21"/>
              </w:rPr>
              <w:t>），参与国家级和省部级项目十多项。以第一作者（或通讯作者）发表论文9 篇，其中A类1篇，B类1篇，</w:t>
            </w:r>
            <w:r>
              <w:rPr>
                <w:szCs w:val="21"/>
              </w:rPr>
              <w:t>C</w:t>
            </w:r>
            <w:r>
              <w:rPr>
                <w:rFonts w:hint="eastAsia"/>
                <w:szCs w:val="21"/>
              </w:rPr>
              <w:t>类6篇，D类1篇。以第一完成人获得授权国家发明专利1项（</w:t>
            </w:r>
            <w:r>
              <w:rPr>
                <w:szCs w:val="21"/>
              </w:rPr>
              <w:t>ZL 2021 1 1246045.3</w:t>
            </w:r>
            <w:r>
              <w:rPr>
                <w:rFonts w:hint="eastAsia"/>
                <w:szCs w:val="21"/>
              </w:rPr>
              <w:t>）。</w:t>
            </w:r>
          </w:p>
          <w:p>
            <w:pPr>
              <w:snapToGrid w:val="0"/>
              <w:spacing w:line="360" w:lineRule="auto"/>
              <w:ind w:firstLine="420" w:firstLineChars="200"/>
              <w:contextualSpacing/>
              <w:rPr>
                <w:szCs w:val="21"/>
              </w:rPr>
            </w:pPr>
            <w:r>
              <w:rPr>
                <w:rFonts w:hint="eastAsia"/>
                <w:szCs w:val="21"/>
              </w:rPr>
              <w:t>四 服务社会方面</w:t>
            </w:r>
          </w:p>
          <w:p>
            <w:pPr>
              <w:snapToGrid w:val="0"/>
              <w:spacing w:line="360" w:lineRule="auto"/>
              <w:ind w:firstLine="420" w:firstLineChars="200"/>
              <w:contextualSpacing/>
              <w:rPr>
                <w:szCs w:val="21"/>
              </w:rPr>
            </w:pPr>
            <w:r>
              <w:rPr>
                <w:rFonts w:hint="eastAsia"/>
                <w:szCs w:val="21"/>
              </w:rPr>
              <w:t>积极按照学院的安排，对海南省中学教师开展生物化学与分子生物学方面的实验技能培训；参与中学生生物实验技能竞赛的命题及组织准备工作。</w:t>
            </w:r>
          </w:p>
          <w:p>
            <w:pPr>
              <w:snapToGrid w:val="0"/>
              <w:spacing w:line="360" w:lineRule="auto"/>
              <w:ind w:firstLine="420" w:firstLineChars="200"/>
              <w:contextualSpacing/>
              <w:rPr>
                <w:szCs w:val="21"/>
              </w:rPr>
            </w:pPr>
            <w:r>
              <w:rPr>
                <w:rFonts w:hint="eastAsia"/>
                <w:szCs w:val="21"/>
              </w:rPr>
              <w:t>以上是我任现职以来的专业技术工作主要情况，经过几年时间的积累与努力，虽然在工作、教学与科研上取得了一定的进步，但仍存在很多不足和需要改进的地方。在今后的工作中，我将继续努力，总结经验教训，认真做好本职工作，努力提升自身水平，争取更大的进步。</w:t>
            </w: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r>
              <w:rPr>
                <w:rFonts w:hint="eastAsia"/>
                <w:szCs w:val="21"/>
              </w:rPr>
              <w:t>本人承诺：</w:t>
            </w:r>
          </w:p>
          <w:p>
            <w:pPr>
              <w:rPr>
                <w:szCs w:val="21"/>
              </w:rPr>
            </w:pPr>
          </w:p>
          <w:p>
            <w:pPr>
              <w:rPr>
                <w:szCs w:val="21"/>
              </w:rPr>
            </w:pPr>
            <w:r>
              <w:rPr>
                <w:rFonts w:hint="eastAsia"/>
                <w:szCs w:val="21"/>
              </w:rPr>
              <w:t xml:space="preserve">                                                   签名：                   年   月   日</w:t>
            </w:r>
          </w:p>
        </w:tc>
      </w:tr>
    </w:tbl>
    <w:p/>
    <w:tbl>
      <w:tblPr>
        <w:tblStyle w:val="5"/>
        <w:tblW w:w="0" w:type="auto"/>
        <w:tblInd w:w="-34" w:type="dxa"/>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二级学院职称评审推荐工作委员会审核意见</w:t>
            </w:r>
          </w:p>
        </w:tc>
        <w:tc>
          <w:tcPr>
            <w:tcW w:w="8612" w:type="dxa"/>
            <w:tcBorders>
              <w:top w:val="single" w:color="000000" w:sz="4" w:space="0"/>
              <w:left w:val="nil"/>
              <w:bottom w:val="single" w:color="000000" w:sz="4" w:space="0"/>
              <w:right w:val="single" w:color="000000" w:sz="4" w:space="0"/>
            </w:tcBorders>
            <w:vAlign w:val="center"/>
          </w:tcPr>
          <w:p>
            <w:pPr>
              <w:widowControl/>
              <w:ind w:firstLine="420" w:firstLineChars="200"/>
              <w:rPr>
                <w:rFonts w:ascii="宋体" w:hAnsi="宋体" w:cs="Arial"/>
                <w:color w:val="000000"/>
                <w:kern w:val="0"/>
                <w:szCs w:val="21"/>
              </w:rPr>
            </w:pPr>
            <w:r>
              <w:rPr>
                <w:rFonts w:hint="eastAsia" w:ascii="宋体" w:hAnsi="宋体" w:cs="Arial"/>
                <w:color w:val="000000"/>
                <w:kern w:val="0"/>
                <w:szCs w:val="21"/>
              </w:rPr>
              <w:t>依据《海南师范大学高校教师系列专业技术职务评审管理办法》（海师办[2021]87号文规定，经鉴定审核，</w:t>
            </w:r>
            <w:r>
              <w:rPr>
                <w:rFonts w:hint="eastAsia" w:ascii="宋体" w:hAnsi="宋体" w:cs="Arial"/>
                <w:color w:val="000000"/>
                <w:kern w:val="0"/>
                <w:szCs w:val="21"/>
                <w:u w:val="single"/>
              </w:rPr>
              <w:t xml:space="preserve">        </w:t>
            </w:r>
            <w:r>
              <w:rPr>
                <w:rFonts w:hint="eastAsia" w:ascii="宋体" w:hAnsi="宋体" w:cs="Arial"/>
                <w:color w:val="000000"/>
                <w:kern w:val="0"/>
                <w:szCs w:val="21"/>
              </w:rPr>
              <w:t>同志的申报材料真实完整，并经    年  月  日至    月   日公示无异议，同意推荐其参评</w:t>
            </w:r>
            <w:r>
              <w:rPr>
                <w:rFonts w:hint="eastAsia" w:ascii="宋体" w:hAnsi="宋体" w:cs="Arial"/>
                <w:color w:val="000000"/>
                <w:kern w:val="0"/>
                <w:szCs w:val="21"/>
                <w:u w:val="single"/>
              </w:rPr>
              <w:t xml:space="preserve">              </w:t>
            </w:r>
            <w:r>
              <w:rPr>
                <w:rFonts w:hint="eastAsia" w:ascii="宋体" w:hAnsi="宋体" w:cs="Arial"/>
                <w:color w:val="000000"/>
                <w:kern w:val="0"/>
                <w:szCs w:val="21"/>
              </w:rPr>
              <w:t>专业技术资格职称。</w:t>
            </w:r>
          </w:p>
          <w:p>
            <w:pPr>
              <w:widowControl/>
              <w:ind w:firstLine="420" w:firstLineChars="200"/>
              <w:rPr>
                <w:rFonts w:ascii="宋体" w:hAnsi="宋体" w:cs="Arial"/>
                <w:color w:val="000000"/>
                <w:kern w:val="0"/>
                <w:szCs w:val="21"/>
              </w:rPr>
            </w:pPr>
          </w:p>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tblPrEx>
          <w:tblCellMar>
            <w:top w:w="0" w:type="dxa"/>
            <w:left w:w="108" w:type="dxa"/>
            <w:bottom w:w="0" w:type="dxa"/>
            <w:right w:w="108" w:type="dxa"/>
          </w:tblCellMar>
        </w:tblPrEx>
        <w:trPr>
          <w:trHeight w:val="1200" w:hRule="atLeast"/>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color w:val="000000"/>
                <w:kern w:val="0"/>
                <w:szCs w:val="21"/>
              </w:rPr>
            </w:pPr>
            <w:r>
              <w:rPr>
                <w:rFonts w:hint="eastAsia" w:ascii="宋体" w:hAnsi="宋体" w:cs="Arial"/>
                <w:color w:val="000000"/>
                <w:kern w:val="0"/>
                <w:szCs w:val="21"/>
              </w:rPr>
              <w:t>代表作1名称：</w:t>
            </w:r>
            <w:r>
              <w:rPr>
                <w:rFonts w:ascii="宋体" w:hAnsi="宋体" w:cs="Arial"/>
                <w:color w:val="000000"/>
                <w:kern w:val="0"/>
                <w:szCs w:val="21"/>
              </w:rPr>
              <w:t>Is allelochemical synthesis in Casuarina equisetifolia plantation related to litter microorganisms?</w:t>
            </w:r>
          </w:p>
          <w:p>
            <w:pPr>
              <w:widowControl/>
              <w:jc w:val="left"/>
              <w:rPr>
                <w:rFonts w:ascii="宋体" w:hAnsi="宋体" w:cs="Arial"/>
                <w:color w:val="000000"/>
                <w:kern w:val="0"/>
                <w:szCs w:val="21"/>
              </w:rPr>
            </w:pPr>
            <w:r>
              <w:rPr>
                <w:rFonts w:hint="eastAsia" w:ascii="宋体" w:hAnsi="宋体" w:cs="Arial"/>
                <w:color w:val="000000"/>
                <w:kern w:val="0"/>
                <w:szCs w:val="21"/>
              </w:rPr>
              <w:t>代表作2名称：生物化学综合大实验及其考核方式的改革</w:t>
            </w:r>
          </w:p>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学校职称办预审意见：</w:t>
            </w: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rPr>
                <w:kern w:val="0"/>
              </w:rPr>
            </w:pPr>
            <w:r>
              <w:rPr>
                <w:rFonts w:hint="eastAsia"/>
                <w:kern w:val="0"/>
              </w:rPr>
              <w:t>审 核 人：                          负责人：                         （加盖单位公章）</w:t>
            </w:r>
          </w:p>
          <w:p>
            <w:pPr>
              <w:rPr>
                <w:kern w:val="0"/>
              </w:rPr>
            </w:pP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申请人答辨情况：</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pPr>
              <w:widowControl/>
              <w:spacing w:line="520" w:lineRule="atLeast"/>
              <w:ind w:right="840"/>
              <w:jc w:val="left"/>
              <w:rPr>
                <w:rFonts w:ascii="宋体" w:hAnsi="宋体" w:cs="Arial"/>
                <w:color w:val="000000"/>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134" w:right="1134" w:bottom="1134"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docPartObj>
        <w:docPartGallery w:val="autotext"/>
      </w:docPartObj>
    </w:sdtPr>
    <w:sdtContent>
      <w:sdt>
        <w:sdtPr>
          <w:id w:val="98381352"/>
          <w:docPartObj>
            <w:docPartGallery w:val="autotext"/>
          </w:docPartObj>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15</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docPartObj>
        <w:docPartGallery w:val="autotext"/>
      </w:docPartObj>
    </w:sdtPr>
    <w:sdtContent>
      <w:sdt>
        <w:sdtPr>
          <w:id w:val="19013124"/>
          <w:docPartObj>
            <w:docPartGallery w:val="autotext"/>
          </w:docPartObj>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15</w:t>
            </w:r>
            <w:r>
              <w:rPr>
                <w:b/>
                <w:sz w:val="24"/>
                <w:szCs w:val="24"/>
              </w:rPr>
              <w:fldChar w:fldCharType="end"/>
            </w:r>
          </w:p>
        </w:sdtContent>
      </w:sdt>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8E7FDC"/>
    <w:multiLevelType w:val="multilevel"/>
    <w:tmpl w:val="0E8E7FDC"/>
    <w:lvl w:ilvl="0" w:tentative="0">
      <w:start w:val="0"/>
      <w:numFmt w:val="bullet"/>
      <w:lvlText w:val="□"/>
      <w:lvlJc w:val="left"/>
      <w:pPr>
        <w:ind w:left="360" w:hanging="360"/>
      </w:pPr>
      <w:rPr>
        <w:rFonts w:hint="eastAsia" w:ascii="宋体" w:hAnsi="宋体" w:eastAsia="宋体" w:cs="Arial"/>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FhZmM4MDBiMGMyOWIxOTNmMDE5OTQ5NzNjN2Q0YWUifQ=="/>
  </w:docVars>
  <w:rsids>
    <w:rsidRoot w:val="0033126B"/>
    <w:rsid w:val="00011B6B"/>
    <w:rsid w:val="00016305"/>
    <w:rsid w:val="000169D2"/>
    <w:rsid w:val="0002075C"/>
    <w:rsid w:val="00024587"/>
    <w:rsid w:val="00025856"/>
    <w:rsid w:val="000408CA"/>
    <w:rsid w:val="00050B41"/>
    <w:rsid w:val="000835E5"/>
    <w:rsid w:val="00086C19"/>
    <w:rsid w:val="00091D39"/>
    <w:rsid w:val="00093E8E"/>
    <w:rsid w:val="000A1C4F"/>
    <w:rsid w:val="000A3C57"/>
    <w:rsid w:val="000A53B5"/>
    <w:rsid w:val="000B25F1"/>
    <w:rsid w:val="000B5BC8"/>
    <w:rsid w:val="000B62EA"/>
    <w:rsid w:val="000B7E3F"/>
    <w:rsid w:val="000C4E2A"/>
    <w:rsid w:val="000C7246"/>
    <w:rsid w:val="000C73F9"/>
    <w:rsid w:val="000E1FCC"/>
    <w:rsid w:val="000E777B"/>
    <w:rsid w:val="000F2B39"/>
    <w:rsid w:val="00100DF9"/>
    <w:rsid w:val="0010107E"/>
    <w:rsid w:val="001034FB"/>
    <w:rsid w:val="0010383F"/>
    <w:rsid w:val="0010497E"/>
    <w:rsid w:val="00106765"/>
    <w:rsid w:val="00110033"/>
    <w:rsid w:val="00113655"/>
    <w:rsid w:val="0011658E"/>
    <w:rsid w:val="00123022"/>
    <w:rsid w:val="0012343B"/>
    <w:rsid w:val="0012740F"/>
    <w:rsid w:val="0012753C"/>
    <w:rsid w:val="00133633"/>
    <w:rsid w:val="00136E7A"/>
    <w:rsid w:val="001578CF"/>
    <w:rsid w:val="00163F01"/>
    <w:rsid w:val="00171343"/>
    <w:rsid w:val="00171BEC"/>
    <w:rsid w:val="00177970"/>
    <w:rsid w:val="001800E4"/>
    <w:rsid w:val="001819F8"/>
    <w:rsid w:val="00192A61"/>
    <w:rsid w:val="001937B4"/>
    <w:rsid w:val="001D2597"/>
    <w:rsid w:val="001E1E38"/>
    <w:rsid w:val="001E3388"/>
    <w:rsid w:val="001F7581"/>
    <w:rsid w:val="00210637"/>
    <w:rsid w:val="00211798"/>
    <w:rsid w:val="0021286E"/>
    <w:rsid w:val="00226AC5"/>
    <w:rsid w:val="002270A7"/>
    <w:rsid w:val="00271356"/>
    <w:rsid w:val="002859E6"/>
    <w:rsid w:val="00285C79"/>
    <w:rsid w:val="002A70A7"/>
    <w:rsid w:val="002B35D8"/>
    <w:rsid w:val="002C2E4D"/>
    <w:rsid w:val="002E42F6"/>
    <w:rsid w:val="002E5783"/>
    <w:rsid w:val="002F1EC4"/>
    <w:rsid w:val="003058BB"/>
    <w:rsid w:val="00314EE7"/>
    <w:rsid w:val="00324D6E"/>
    <w:rsid w:val="0033126B"/>
    <w:rsid w:val="0033420A"/>
    <w:rsid w:val="00337ABA"/>
    <w:rsid w:val="00342D04"/>
    <w:rsid w:val="00345CE6"/>
    <w:rsid w:val="00353FFB"/>
    <w:rsid w:val="0036206F"/>
    <w:rsid w:val="00370BC7"/>
    <w:rsid w:val="00373E62"/>
    <w:rsid w:val="00384C68"/>
    <w:rsid w:val="003B5BA5"/>
    <w:rsid w:val="003C5B6D"/>
    <w:rsid w:val="003C6F7B"/>
    <w:rsid w:val="003D6C2A"/>
    <w:rsid w:val="0040314A"/>
    <w:rsid w:val="004074FE"/>
    <w:rsid w:val="00410217"/>
    <w:rsid w:val="00413D18"/>
    <w:rsid w:val="00424D1B"/>
    <w:rsid w:val="0043017E"/>
    <w:rsid w:val="004315A8"/>
    <w:rsid w:val="004425D8"/>
    <w:rsid w:val="00455996"/>
    <w:rsid w:val="004632E2"/>
    <w:rsid w:val="00464A2C"/>
    <w:rsid w:val="004746A7"/>
    <w:rsid w:val="00477CC6"/>
    <w:rsid w:val="00481C0E"/>
    <w:rsid w:val="004849BB"/>
    <w:rsid w:val="00492E46"/>
    <w:rsid w:val="004A7AE8"/>
    <w:rsid w:val="004B1AFD"/>
    <w:rsid w:val="004B2229"/>
    <w:rsid w:val="004C6BAB"/>
    <w:rsid w:val="004D2226"/>
    <w:rsid w:val="004E1771"/>
    <w:rsid w:val="004E438D"/>
    <w:rsid w:val="004F21A1"/>
    <w:rsid w:val="004F6993"/>
    <w:rsid w:val="00501DE0"/>
    <w:rsid w:val="00506C39"/>
    <w:rsid w:val="00507D8E"/>
    <w:rsid w:val="00526D1B"/>
    <w:rsid w:val="00540C58"/>
    <w:rsid w:val="0054551E"/>
    <w:rsid w:val="00583E93"/>
    <w:rsid w:val="005D15F8"/>
    <w:rsid w:val="005D66A7"/>
    <w:rsid w:val="005E042A"/>
    <w:rsid w:val="005E06B1"/>
    <w:rsid w:val="005E3440"/>
    <w:rsid w:val="005E58F4"/>
    <w:rsid w:val="005F2887"/>
    <w:rsid w:val="00600015"/>
    <w:rsid w:val="00600F4D"/>
    <w:rsid w:val="00607D1E"/>
    <w:rsid w:val="00617C9D"/>
    <w:rsid w:val="00621A2C"/>
    <w:rsid w:val="00621BA7"/>
    <w:rsid w:val="00623BB8"/>
    <w:rsid w:val="0062664F"/>
    <w:rsid w:val="00635405"/>
    <w:rsid w:val="006401D7"/>
    <w:rsid w:val="00647D66"/>
    <w:rsid w:val="00660F75"/>
    <w:rsid w:val="00661C50"/>
    <w:rsid w:val="00661D38"/>
    <w:rsid w:val="006644AB"/>
    <w:rsid w:val="0067462D"/>
    <w:rsid w:val="006846FA"/>
    <w:rsid w:val="00685AF4"/>
    <w:rsid w:val="00690D02"/>
    <w:rsid w:val="00691EF6"/>
    <w:rsid w:val="00695C1A"/>
    <w:rsid w:val="0069660E"/>
    <w:rsid w:val="00697929"/>
    <w:rsid w:val="006A34E9"/>
    <w:rsid w:val="006C62A7"/>
    <w:rsid w:val="006D1960"/>
    <w:rsid w:val="006E5989"/>
    <w:rsid w:val="006E626A"/>
    <w:rsid w:val="006E7007"/>
    <w:rsid w:val="006E7E68"/>
    <w:rsid w:val="007031A9"/>
    <w:rsid w:val="0072547E"/>
    <w:rsid w:val="007313BA"/>
    <w:rsid w:val="00734128"/>
    <w:rsid w:val="00735EFC"/>
    <w:rsid w:val="007415CC"/>
    <w:rsid w:val="00741F1A"/>
    <w:rsid w:val="00746377"/>
    <w:rsid w:val="0076133B"/>
    <w:rsid w:val="00761C54"/>
    <w:rsid w:val="007A6787"/>
    <w:rsid w:val="007B33B1"/>
    <w:rsid w:val="007B4228"/>
    <w:rsid w:val="007E7FD3"/>
    <w:rsid w:val="00804A9D"/>
    <w:rsid w:val="008260EB"/>
    <w:rsid w:val="008269F0"/>
    <w:rsid w:val="00826A66"/>
    <w:rsid w:val="00827210"/>
    <w:rsid w:val="00830327"/>
    <w:rsid w:val="00833AA5"/>
    <w:rsid w:val="008347B7"/>
    <w:rsid w:val="00843160"/>
    <w:rsid w:val="00843320"/>
    <w:rsid w:val="00867374"/>
    <w:rsid w:val="008678EB"/>
    <w:rsid w:val="00872E0F"/>
    <w:rsid w:val="008764C0"/>
    <w:rsid w:val="00876F0D"/>
    <w:rsid w:val="00882519"/>
    <w:rsid w:val="00893E67"/>
    <w:rsid w:val="0089698F"/>
    <w:rsid w:val="00896BD4"/>
    <w:rsid w:val="008A1CDC"/>
    <w:rsid w:val="008B4063"/>
    <w:rsid w:val="008B5E5E"/>
    <w:rsid w:val="008C1C17"/>
    <w:rsid w:val="008C4C0F"/>
    <w:rsid w:val="008C7923"/>
    <w:rsid w:val="008E3532"/>
    <w:rsid w:val="008F4C41"/>
    <w:rsid w:val="008F7F05"/>
    <w:rsid w:val="00902742"/>
    <w:rsid w:val="00912A23"/>
    <w:rsid w:val="0092531B"/>
    <w:rsid w:val="00955FF7"/>
    <w:rsid w:val="00956FEE"/>
    <w:rsid w:val="00961821"/>
    <w:rsid w:val="009624BB"/>
    <w:rsid w:val="00962F66"/>
    <w:rsid w:val="00967876"/>
    <w:rsid w:val="009A3229"/>
    <w:rsid w:val="009C1F06"/>
    <w:rsid w:val="009D6AE0"/>
    <w:rsid w:val="009E64C8"/>
    <w:rsid w:val="009E7FC4"/>
    <w:rsid w:val="009F19E4"/>
    <w:rsid w:val="00A03435"/>
    <w:rsid w:val="00A12F14"/>
    <w:rsid w:val="00A13861"/>
    <w:rsid w:val="00A356DA"/>
    <w:rsid w:val="00A427D7"/>
    <w:rsid w:val="00A46590"/>
    <w:rsid w:val="00A505EC"/>
    <w:rsid w:val="00A600A4"/>
    <w:rsid w:val="00A71F5D"/>
    <w:rsid w:val="00A76956"/>
    <w:rsid w:val="00A90823"/>
    <w:rsid w:val="00AA7293"/>
    <w:rsid w:val="00AB4755"/>
    <w:rsid w:val="00AB5EA9"/>
    <w:rsid w:val="00AD5CCC"/>
    <w:rsid w:val="00AF445F"/>
    <w:rsid w:val="00AF546A"/>
    <w:rsid w:val="00B06BF4"/>
    <w:rsid w:val="00B07F41"/>
    <w:rsid w:val="00B1161D"/>
    <w:rsid w:val="00B15E15"/>
    <w:rsid w:val="00B16465"/>
    <w:rsid w:val="00B22E22"/>
    <w:rsid w:val="00B24DBB"/>
    <w:rsid w:val="00B516D2"/>
    <w:rsid w:val="00B716E4"/>
    <w:rsid w:val="00B800F8"/>
    <w:rsid w:val="00B82843"/>
    <w:rsid w:val="00B92456"/>
    <w:rsid w:val="00B94194"/>
    <w:rsid w:val="00BA646C"/>
    <w:rsid w:val="00BB016C"/>
    <w:rsid w:val="00BC2B66"/>
    <w:rsid w:val="00BD1A32"/>
    <w:rsid w:val="00BD4E90"/>
    <w:rsid w:val="00C008D8"/>
    <w:rsid w:val="00C0165A"/>
    <w:rsid w:val="00C2389A"/>
    <w:rsid w:val="00C30122"/>
    <w:rsid w:val="00C77711"/>
    <w:rsid w:val="00C96100"/>
    <w:rsid w:val="00CA5793"/>
    <w:rsid w:val="00CB1F99"/>
    <w:rsid w:val="00CB3264"/>
    <w:rsid w:val="00CC5F47"/>
    <w:rsid w:val="00CD00D8"/>
    <w:rsid w:val="00CD42FF"/>
    <w:rsid w:val="00CD7981"/>
    <w:rsid w:val="00D04DC8"/>
    <w:rsid w:val="00D20B34"/>
    <w:rsid w:val="00D36132"/>
    <w:rsid w:val="00D36A37"/>
    <w:rsid w:val="00D36DCE"/>
    <w:rsid w:val="00D3748A"/>
    <w:rsid w:val="00D41163"/>
    <w:rsid w:val="00D416C2"/>
    <w:rsid w:val="00D41CF0"/>
    <w:rsid w:val="00D66B57"/>
    <w:rsid w:val="00D72B8F"/>
    <w:rsid w:val="00D830ED"/>
    <w:rsid w:val="00DA3AD6"/>
    <w:rsid w:val="00DA4D74"/>
    <w:rsid w:val="00DA6B66"/>
    <w:rsid w:val="00DB02E4"/>
    <w:rsid w:val="00DC11A1"/>
    <w:rsid w:val="00DC684B"/>
    <w:rsid w:val="00DC7365"/>
    <w:rsid w:val="00DD3840"/>
    <w:rsid w:val="00DD5F4F"/>
    <w:rsid w:val="00DD7968"/>
    <w:rsid w:val="00DE299B"/>
    <w:rsid w:val="00E07849"/>
    <w:rsid w:val="00E07A52"/>
    <w:rsid w:val="00E206F2"/>
    <w:rsid w:val="00E22430"/>
    <w:rsid w:val="00E22A2F"/>
    <w:rsid w:val="00E40F6D"/>
    <w:rsid w:val="00E568F0"/>
    <w:rsid w:val="00E705AB"/>
    <w:rsid w:val="00E713EE"/>
    <w:rsid w:val="00E906F8"/>
    <w:rsid w:val="00E9259B"/>
    <w:rsid w:val="00EA4DC2"/>
    <w:rsid w:val="00EB1023"/>
    <w:rsid w:val="00ED0158"/>
    <w:rsid w:val="00ED30F2"/>
    <w:rsid w:val="00ED4C2A"/>
    <w:rsid w:val="00EE2F78"/>
    <w:rsid w:val="00EE3937"/>
    <w:rsid w:val="00EE4D17"/>
    <w:rsid w:val="00EE5924"/>
    <w:rsid w:val="00EE79DB"/>
    <w:rsid w:val="00F02B92"/>
    <w:rsid w:val="00F12876"/>
    <w:rsid w:val="00F13F1C"/>
    <w:rsid w:val="00F20D7F"/>
    <w:rsid w:val="00F23796"/>
    <w:rsid w:val="00F37C30"/>
    <w:rsid w:val="00F449D8"/>
    <w:rsid w:val="00F50D1D"/>
    <w:rsid w:val="00F628CC"/>
    <w:rsid w:val="00F75973"/>
    <w:rsid w:val="00F82DFD"/>
    <w:rsid w:val="00F841C6"/>
    <w:rsid w:val="00F8579D"/>
    <w:rsid w:val="00FA4387"/>
    <w:rsid w:val="00FA4F0C"/>
    <w:rsid w:val="00FC297F"/>
    <w:rsid w:val="00FC30F4"/>
    <w:rsid w:val="00FD5538"/>
    <w:rsid w:val="00FE2E59"/>
    <w:rsid w:val="00FE62FE"/>
    <w:rsid w:val="00FE74F0"/>
    <w:rsid w:val="00FF238B"/>
    <w:rsid w:val="00FF54C9"/>
    <w:rsid w:val="00FF7774"/>
    <w:rsid w:val="3EA860AE"/>
    <w:rsid w:val="647A6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FD74B9FFC0B61478C4A918B1B9ED473" ma:contentTypeVersion="5" ma:contentTypeDescription="Create a new document." ma:contentTypeScope="" ma:versionID="38af32fdb8e8533c7ec151061c71c80d">
  <xsd:schema xmlns:xsd="http://www.w3.org/2001/XMLSchema" xmlns:xs="http://www.w3.org/2001/XMLSchema" xmlns:p="http://schemas.microsoft.com/office/2006/metadata/properties" xmlns:ns3="c31e1049-ece9-4e05-9b8e-340729418a77" xmlns:ns4="ade16570-89be-4085-acf9-5b9f4bb77d7f" targetNamespace="http://schemas.microsoft.com/office/2006/metadata/properties" ma:root="true" ma:fieldsID="e596ee8835b7df961833fe1cb55e5914" ns3:_="" ns4:_="">
    <xsd:import namespace="c31e1049-ece9-4e05-9b8e-340729418a77"/>
    <xsd:import namespace="ade16570-89be-4085-acf9-5b9f4bb77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1e1049-ece9-4e05-9b8e-340729418a7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e16570-89be-4085-acf9-5b9f4bb77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611AB1-AAF5-402E-BF9E-4E633F39F3F9}">
  <ds:schemaRefs/>
</ds:datastoreItem>
</file>

<file path=customXml/itemProps2.xml><?xml version="1.0" encoding="utf-8"?>
<ds:datastoreItem xmlns:ds="http://schemas.openxmlformats.org/officeDocument/2006/customXml" ds:itemID="{40F32A03-8F2D-4697-A2FD-2FFCC579A88A}">
  <ds:schemaRefs/>
</ds:datastoreItem>
</file>

<file path=customXml/itemProps3.xml><?xml version="1.0" encoding="utf-8"?>
<ds:datastoreItem xmlns:ds="http://schemas.openxmlformats.org/officeDocument/2006/customXml" ds:itemID="{5A7F36E5-F003-451B-9E0D-BF6513681568}">
  <ds:schemaRefs/>
</ds:datastoreItem>
</file>

<file path=customXml/itemProps4.xml><?xml version="1.0" encoding="utf-8"?>
<ds:datastoreItem xmlns:ds="http://schemas.openxmlformats.org/officeDocument/2006/customXml" ds:itemID="{381C2E30-5F33-4106-A577-2A788324198F}">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15</Pages>
  <Words>1320</Words>
  <Characters>7526</Characters>
  <Lines>62</Lines>
  <Paragraphs>17</Paragraphs>
  <TotalTime>52</TotalTime>
  <ScaleCrop>false</ScaleCrop>
  <LinksUpToDate>false</LinksUpToDate>
  <CharactersWithSpaces>8829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2023-09-04T00:31:00Z</dcterms:created>
  <dc:creator>符桑岚</dc:creator>
  <cp:lastModifiedBy>Administrator</cp:lastModifiedBy>
  <cp:lastPrinted>2018-11-04T02:00:00Z</cp:lastPrinted>
  <dcterms:modified xsi:type="dcterms:W3CDTF">2023-09-06T00:17:18Z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E9180C1BD5E84E1798C0889845200DE6_13</vt:lpwstr>
  </property>
  <property fmtid="{D5CDD505-2E9C-101B-9397-08002B2CF9AE}" pid="4" name="ContentTypeId">
    <vt:lpwstr>0x010100BFD74B9FFC0B61478C4A918B1B9ED473</vt:lpwstr>
  </property>
</Properties>
</file>